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framePr w:hSpace="181" w:vSpace="181" w:wrap="around" w:y="114"/>
        <w:rPr>
          <w:rFonts w:ascii="Times New Roman" w:eastAsia="宋体"/>
        </w:rPr>
      </w:pPr>
      <w:r>
        <w:rPr>
          <w:rFonts w:ascii="Times New Roman" w:eastAsia="宋体"/>
        </w:rPr>
        <w:t>ICS</w:t>
      </w:r>
      <w:r>
        <w:rPr>
          <w:rFonts w:hint="eastAsia" w:ascii="Times New Roman" w:eastAsia="宋体"/>
          <w:b/>
          <w:bCs/>
        </w:rPr>
        <w:t xml:space="preserve"> </w:t>
      </w:r>
      <w:r>
        <w:rPr>
          <w:rFonts w:hint="eastAsia" w:ascii="Times New Roman" w:eastAsia="宋体"/>
        </w:rPr>
        <w:t>13.020.01</w:t>
      </w:r>
    </w:p>
    <w:p>
      <w:pPr>
        <w:pStyle w:val="39"/>
        <w:framePr w:hSpace="181" w:vSpace="181" w:wrap="around" w:y="114"/>
        <w:rPr>
          <w:rFonts w:ascii="Times New Roman" w:eastAsia="宋体"/>
        </w:rPr>
      </w:pPr>
      <w:r>
        <w:rPr>
          <w:rFonts w:hint="eastAsia" w:ascii="Times New Roman" w:eastAsia="宋体"/>
        </w:rPr>
        <w:t>CCS Z 04</w:t>
      </w:r>
    </w:p>
    <w:p>
      <w:pPr>
        <w:pStyle w:val="37"/>
        <w:framePr w:w="7668" w:wrap="around" w:x="2085"/>
        <w:jc w:val="center"/>
        <w:rPr>
          <w:rFonts w:ascii="Times New Roman" w:hAnsi="Times New Roman" w:eastAsia="宋体"/>
          <w:color w:val="000000"/>
          <w:spacing w:val="0"/>
          <w:sz w:val="72"/>
          <w:szCs w:val="72"/>
        </w:rPr>
      </w:pPr>
      <w:r>
        <w:rPr>
          <w:rFonts w:hint="eastAsia" w:ascii="Times New Roman" w:hAnsi="Times New Roman" w:eastAsia="宋体"/>
          <w:color w:val="000000"/>
          <w:spacing w:val="0"/>
          <w:sz w:val="72"/>
          <w:szCs w:val="72"/>
        </w:rPr>
        <w:t>团    体    标    准</w:t>
      </w:r>
    </w:p>
    <w:p>
      <w:pPr>
        <w:pStyle w:val="33"/>
        <w:framePr w:w="8609" w:h="586" w:hRule="exact" w:wrap="around" w:x="1682" w:y="3586"/>
        <w:wordWrap w:val="0"/>
        <w:spacing w:before="0" w:line="240" w:lineRule="auto"/>
        <w:rPr>
          <w:rFonts w:ascii="Times New Roman" w:eastAsia="宋体"/>
          <w:color w:val="000000"/>
        </w:rPr>
      </w:pPr>
      <w:r>
        <w:rPr>
          <w:rFonts w:hint="eastAsia" w:ascii="Times New Roman" w:eastAsia="宋体"/>
          <w:color w:val="000000"/>
        </w:rPr>
        <w:t xml:space="preserve">T/SEESA </w:t>
      </w:r>
      <w:r>
        <w:rPr>
          <w:rFonts w:ascii="Times New Roman" w:eastAsia="宋体"/>
          <w:color w:val="000000"/>
        </w:rPr>
        <w:t>XXX—</w:t>
      </w:r>
      <w:r>
        <w:rPr>
          <w:rFonts w:hint="eastAsia" w:ascii="Times New Roman" w:eastAsia="宋体"/>
          <w:color w:val="000000"/>
        </w:rPr>
        <w:t>2022</w:t>
      </w:r>
    </w:p>
    <w:tbl>
      <w:tblPr>
        <w:tblStyle w:val="22"/>
        <w:tblW w:w="93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tcPr>
          <w:p>
            <w:pPr>
              <w:pStyle w:val="34"/>
              <w:framePr w:w="8609" w:h="586" w:hRule="exact" w:wrap="around" w:x="1682" w:y="3586"/>
              <w:widowControl w:val="0"/>
              <w:rPr>
                <w:rFonts w:ascii="Times New Roman"/>
                <w:color w:val="000000"/>
              </w:rPr>
            </w:pPr>
          </w:p>
        </w:tc>
      </w:tr>
    </w:tbl>
    <w:p>
      <w:pPr>
        <w:pStyle w:val="33"/>
        <w:framePr w:w="8609" w:h="586" w:hRule="exact" w:wrap="around" w:x="1682" w:y="3586"/>
        <w:rPr>
          <w:rFonts w:ascii="Times New Roman" w:eastAsia="宋体"/>
          <w:color w:val="000000"/>
        </w:rPr>
      </w:pPr>
    </w:p>
    <w:p>
      <w:pPr>
        <w:pStyle w:val="33"/>
        <w:framePr w:w="8609" w:h="586" w:hRule="exact" w:wrap="around" w:x="1682" w:y="3586"/>
        <w:rPr>
          <w:rFonts w:ascii="Times New Roman" w:eastAsia="宋体"/>
          <w:color w:val="000000"/>
        </w:rPr>
      </w:pPr>
    </w:p>
    <w:p>
      <w:pPr>
        <w:pStyle w:val="35"/>
        <w:framePr w:w="8701" w:wrap="around"/>
        <w:rPr>
          <w:rFonts w:ascii="Times New Roman" w:eastAsia="宋体"/>
        </w:rPr>
      </w:pPr>
      <w:bookmarkStart w:id="0" w:name="_Hlk99204669"/>
    </w:p>
    <w:p>
      <w:pPr>
        <w:pStyle w:val="35"/>
        <w:framePr w:w="8701" w:wrap="around"/>
        <w:spacing w:line="360" w:lineRule="auto"/>
        <w:rPr>
          <w:rFonts w:ascii="Times New Roman" w:eastAsia="宋体"/>
        </w:rPr>
      </w:pPr>
      <w:bookmarkStart w:id="1" w:name="_Hlk113283381"/>
      <w:r>
        <w:rPr>
          <w:rFonts w:hint="eastAsia" w:ascii="Times New Roman" w:eastAsia="宋体"/>
        </w:rPr>
        <w:t>智慧建筑直流能源系统应用技术规程</w:t>
      </w:r>
    </w:p>
    <w:bookmarkEnd w:id="0"/>
    <w:bookmarkEnd w:id="1"/>
    <w:p>
      <w:pPr>
        <w:pStyle w:val="36"/>
        <w:framePr w:w="8701" w:wrap="around"/>
        <w:spacing w:before="0" w:line="240" w:lineRule="auto"/>
        <w:rPr>
          <w:rFonts w:ascii="Times New Roman"/>
        </w:rPr>
      </w:pPr>
      <w:r>
        <w:rPr>
          <w:rFonts w:ascii="Times New Roman"/>
        </w:rPr>
        <w:t>T</w:t>
      </w:r>
      <w:r>
        <w:rPr>
          <w:rFonts w:hint="eastAsia" w:ascii="Times New Roman"/>
        </w:rPr>
        <w:t>e</w:t>
      </w:r>
      <w:r>
        <w:rPr>
          <w:rFonts w:ascii="Times New Roman"/>
        </w:rPr>
        <w:t xml:space="preserve">chnical specification for application of </w:t>
      </w:r>
      <w:r>
        <w:rPr>
          <w:rFonts w:hint="eastAsia" w:ascii="Times New Roman"/>
        </w:rPr>
        <w:t>intelligent</w:t>
      </w:r>
      <w:r>
        <w:rPr>
          <w:rFonts w:ascii="Times New Roman"/>
        </w:rPr>
        <w:t xml:space="preserve"> DC </w:t>
      </w:r>
      <w:r>
        <w:rPr>
          <w:rFonts w:hint="eastAsia" w:ascii="Times New Roman"/>
        </w:rPr>
        <w:t>building</w:t>
      </w:r>
      <w:r>
        <w:rPr>
          <w:rFonts w:ascii="Times New Roman"/>
        </w:rPr>
        <w:t xml:space="preserve"> </w:t>
      </w:r>
    </w:p>
    <w:p>
      <w:pPr>
        <w:pStyle w:val="36"/>
        <w:framePr w:w="8701" w:wrap="around"/>
        <w:spacing w:before="0" w:line="240" w:lineRule="auto"/>
        <w:rPr>
          <w:rFonts w:ascii="Times New Roman"/>
        </w:rPr>
      </w:pPr>
      <w:r>
        <w:rPr>
          <w:rFonts w:ascii="Times New Roman"/>
        </w:rPr>
        <w:t xml:space="preserve">energy </w:t>
      </w:r>
      <w:r>
        <w:rPr>
          <w:rFonts w:hint="eastAsia" w:ascii="Times New Roman"/>
        </w:rPr>
        <w:t>system</w:t>
      </w:r>
    </w:p>
    <w:p>
      <w:pPr>
        <w:pStyle w:val="36"/>
        <w:framePr w:w="8701" w:wrap="around"/>
        <w:rPr>
          <w:rFonts w:ascii="Times New Roman"/>
        </w:rPr>
      </w:pPr>
    </w:p>
    <w:p>
      <w:pPr>
        <w:pStyle w:val="36"/>
        <w:framePr w:w="8701" w:wrap="around"/>
        <w:rPr>
          <w:rFonts w:ascii="Times New Roman"/>
        </w:rPr>
      </w:pPr>
    </w:p>
    <w:p>
      <w:pPr>
        <w:pStyle w:val="36"/>
        <w:framePr w:w="8701" w:wrap="around"/>
        <w:rPr>
          <w:rFonts w:ascii="Times New Roman"/>
          <w:bCs/>
          <w:color w:val="000000"/>
          <w:sz w:val="44"/>
          <w:szCs w:val="44"/>
        </w:rPr>
      </w:pPr>
    </w:p>
    <w:p>
      <w:pPr>
        <w:pStyle w:val="36"/>
        <w:framePr w:w="8701" w:wrap="around"/>
        <w:rPr>
          <w:rFonts w:ascii="Times New Roman"/>
          <w:b/>
          <w:bCs/>
          <w:color w:val="000000"/>
          <w:sz w:val="44"/>
          <w:szCs w:val="44"/>
        </w:rPr>
      </w:pPr>
    </w:p>
    <w:p>
      <w:pPr>
        <w:pStyle w:val="40"/>
        <w:framePr w:w="9016" w:wrap="around" w:hAnchor="page" w:x="1501" w:y="13942"/>
        <w:rPr>
          <w:rFonts w:eastAsia="宋体"/>
          <w:color w:val="000000"/>
        </w:rPr>
      </w:pPr>
      <w:r>
        <w:rPr>
          <w:rFonts w:hint="eastAsia" w:eastAsia="宋体"/>
          <w:color w:val="000000"/>
        </w:rPr>
        <w:t>2022</w:t>
      </w:r>
      <w:r>
        <w:rPr>
          <w:rFonts w:eastAsia="宋体"/>
          <w:color w:val="000000"/>
        </w:rPr>
        <w:t>-</w:t>
      </w:r>
      <w:r>
        <w:rPr>
          <w:rFonts w:hint="eastAsia" w:eastAsia="宋体"/>
          <w:color w:val="000000"/>
        </w:rPr>
        <w:t>XX</w:t>
      </w:r>
      <w:r>
        <w:rPr>
          <w:rFonts w:eastAsia="宋体"/>
          <w:color w:val="000000"/>
        </w:rPr>
        <w:t>-</w:t>
      </w:r>
      <w:r>
        <w:rPr>
          <w:rFonts w:hint="eastAsia" w:eastAsia="宋体"/>
          <w:color w:val="000000"/>
        </w:rPr>
        <w:t xml:space="preserve">XX 发布                                </w:t>
      </w:r>
      <w:r>
        <w:rPr>
          <w:rFonts w:eastAsia="宋体"/>
          <w:color w:val="000000"/>
        </w:rPr>
        <w:t xml:space="preserve">                     </w:t>
      </w:r>
      <w:r>
        <w:rPr>
          <w:rFonts w:hint="eastAsia" w:eastAsia="宋体"/>
          <w:color w:val="000000"/>
        </w:rPr>
        <w:t xml:space="preserve"> 2022-</w:t>
      </w:r>
      <w:r>
        <w:rPr>
          <w:rFonts w:eastAsia="宋体"/>
          <w:color w:val="000000"/>
        </w:rPr>
        <w:t>10</w:t>
      </w:r>
      <w:r>
        <w:rPr>
          <w:rFonts w:hint="eastAsia" w:eastAsia="宋体"/>
          <w:color w:val="000000"/>
        </w:rPr>
        <w:t>-01 实施</w:t>
      </w:r>
    </w:p>
    <w:p>
      <w:pPr>
        <w:pStyle w:val="38"/>
        <w:framePr w:w="7406" w:h="571" w:hRule="exact" w:wrap="around" w:x="2966" w:y="14953"/>
        <w:spacing w:line="400" w:lineRule="exact"/>
        <w:jc w:val="both"/>
        <w:rPr>
          <w:rFonts w:ascii="Times New Roman" w:eastAsia="宋体" w:cs="Cambria Math"/>
          <w:color w:val="000000"/>
          <w:spacing w:val="17"/>
          <w:sz w:val="24"/>
          <w:szCs w:val="24"/>
        </w:rPr>
      </w:pPr>
      <w:r>
        <w:rPr>
          <w:rFonts w:hint="eastAsia" w:ascii="Times New Roman" w:eastAsia="宋体" w:cs="Cambria Math"/>
          <w:color w:val="000000"/>
          <w:spacing w:val="17"/>
        </w:rPr>
        <w:t xml:space="preserve">上海市节能环保服务业协会    </w:t>
      </w:r>
      <w:r>
        <w:rPr>
          <w:rFonts w:hint="eastAsia" w:ascii="Times New Roman" w:eastAsia="宋体" w:cs="Cambria Math"/>
          <w:color w:val="000000"/>
          <w:spacing w:val="17"/>
          <w:sz w:val="24"/>
          <w:szCs w:val="24"/>
        </w:rPr>
        <w:t>发布</w:t>
      </w:r>
    </w:p>
    <w:p>
      <w:pPr>
        <w:pStyle w:val="38"/>
        <w:framePr w:w="7406" w:h="571" w:hRule="exact" w:wrap="around" w:x="2966" w:y="14953"/>
        <w:spacing w:line="400" w:lineRule="exact"/>
        <w:jc w:val="both"/>
        <w:rPr>
          <w:rFonts w:ascii="Times New Roman" w:eastAsia="宋体" w:cs="Cambria Math"/>
          <w:color w:val="000000"/>
          <w:spacing w:val="17"/>
          <w:sz w:val="24"/>
          <w:szCs w:val="24"/>
        </w:rPr>
      </w:pPr>
    </w:p>
    <w:p>
      <w:pPr>
        <w:pStyle w:val="38"/>
        <w:framePr w:w="7406" w:h="571" w:hRule="exact" w:wrap="around" w:x="2966" w:y="14953"/>
        <w:spacing w:line="400" w:lineRule="exact"/>
        <w:jc w:val="both"/>
        <w:rPr>
          <w:rFonts w:ascii="Times New Roman" w:eastAsia="宋体" w:cs="Cambria Math"/>
          <w:color w:val="000000"/>
          <w:spacing w:val="17"/>
          <w:sz w:val="24"/>
          <w:szCs w:val="24"/>
        </w:rPr>
      </w:pPr>
    </w:p>
    <w:p>
      <w:pPr>
        <w:pStyle w:val="38"/>
        <w:framePr w:w="7406" w:h="571" w:hRule="exact" w:wrap="around" w:x="2966" w:y="14953"/>
        <w:spacing w:line="400" w:lineRule="exact"/>
        <w:jc w:val="both"/>
        <w:rPr>
          <w:rFonts w:ascii="Times New Roman" w:eastAsia="宋体" w:cs="Cambria Math"/>
          <w:color w:val="000000"/>
          <w:spacing w:val="17"/>
          <w:sz w:val="24"/>
          <w:szCs w:val="24"/>
        </w:rPr>
      </w:pPr>
    </w:p>
    <w:p>
      <w:pPr>
        <w:pStyle w:val="38"/>
        <w:framePr w:w="7406" w:h="571" w:hRule="exact" w:wrap="around" w:x="2966" w:y="14953"/>
        <w:spacing w:line="400" w:lineRule="exact"/>
        <w:jc w:val="both"/>
        <w:rPr>
          <w:rFonts w:ascii="Times New Roman" w:eastAsia="宋体" w:cs="Cambria Math"/>
          <w:color w:val="000000"/>
          <w:spacing w:val="17"/>
          <w:sz w:val="24"/>
          <w:szCs w:val="24"/>
        </w:rPr>
      </w:pPr>
    </w:p>
    <w:p>
      <w:pPr>
        <w:pStyle w:val="38"/>
        <w:framePr w:w="7406" w:h="571" w:hRule="exact" w:wrap="around" w:x="2966" w:y="14953"/>
        <w:spacing w:line="400" w:lineRule="exact"/>
        <w:jc w:val="both"/>
        <w:rPr>
          <w:rFonts w:ascii="Times New Roman" w:eastAsia="宋体"/>
          <w:color w:val="000000"/>
          <w:spacing w:val="51"/>
        </w:rPr>
      </w:pPr>
    </w:p>
    <w:p>
      <w:pPr>
        <w:pStyle w:val="2"/>
        <w:numPr>
          <w:ilvl w:val="0"/>
          <w:numId w:val="0"/>
        </w:numPr>
      </w:pPr>
    </w:p>
    <w:p>
      <w:pPr>
        <w:sectPr>
          <w:footerReference r:id="rId5" w:type="default"/>
          <w:pgSz w:w="11906" w:h="16838"/>
          <w:pgMar w:top="1440" w:right="1800" w:bottom="1440" w:left="1800" w:header="851" w:footer="992" w:gutter="0"/>
          <w:cols w:space="425" w:num="1"/>
          <w:docGrid w:type="lines" w:linePitch="312" w:charSpace="0"/>
        </w:sectPr>
      </w:pPr>
    </w:p>
    <w:p>
      <w:pPr>
        <w:pStyle w:val="3"/>
        <w:numPr>
          <w:ilvl w:val="0"/>
          <w:numId w:val="0"/>
        </w:numPr>
        <w:jc w:val="center"/>
        <w:rPr>
          <w:sz w:val="32"/>
          <w:szCs w:val="48"/>
        </w:rPr>
      </w:pPr>
      <w:bookmarkStart w:id="2" w:name="_Toc113616293"/>
      <w:bookmarkStart w:id="3" w:name="_Toc113636699"/>
      <w:bookmarkStart w:id="4" w:name="_Toc101903609"/>
      <w:bookmarkStart w:id="5" w:name="_Toc113637045"/>
      <w:bookmarkStart w:id="6" w:name="_Toc109750407"/>
      <w:r>
        <w:rPr>
          <w:rFonts w:hint="eastAsia"/>
          <w:sz w:val="32"/>
          <w:szCs w:val="48"/>
        </w:rPr>
        <w:t>前 言</w:t>
      </w:r>
      <w:bookmarkEnd w:id="2"/>
      <w:bookmarkEnd w:id="3"/>
      <w:bookmarkEnd w:id="4"/>
      <w:bookmarkEnd w:id="5"/>
      <w:bookmarkEnd w:id="6"/>
    </w:p>
    <w:p>
      <w:pPr>
        <w:ind w:firstLine="480" w:firstLineChars="200"/>
      </w:pPr>
      <w:r>
        <w:t>根据上海市住房和城乡建设管理委员会关于《印发〈2020 年上海市工程建设规范、建筑标准设计编制计划〉的通知》（沪建标定[2019]752 号）的要求，标准编制组经广泛调査研究，认真总结实践经验，参考有关国际标准和国外先进标准，并在广泛征求意见的基础上</w:t>
      </w:r>
      <w:r>
        <w:rPr>
          <w:rFonts w:hint="eastAsia"/>
        </w:rPr>
        <w:t>，</w:t>
      </w:r>
      <w:r>
        <w:t>制定本标准</w:t>
      </w:r>
      <w:r>
        <w:rPr>
          <w:rFonts w:hint="eastAsia"/>
        </w:rPr>
        <w:t>。</w:t>
      </w:r>
    </w:p>
    <w:p>
      <w:pPr>
        <w:pStyle w:val="9"/>
        <w:spacing w:before="9" w:line="360" w:lineRule="auto"/>
        <w:ind w:left="0" w:firstLine="480" w:firstLineChars="200"/>
        <w:rPr>
          <w:rFonts w:ascii="Times New Roman" w:hAnsi="Times New Roman"/>
          <w:lang w:eastAsia="zh-CN"/>
        </w:rPr>
      </w:pPr>
      <w:bookmarkStart w:id="7" w:name="_Hlk113283048"/>
      <w:r>
        <w:rPr>
          <w:rFonts w:hint="eastAsia" w:ascii="Times New Roman" w:hAnsi="Times New Roman"/>
          <w:lang w:eastAsia="zh-CN"/>
        </w:rPr>
        <w:t>本标准共分为</w:t>
      </w:r>
      <w:r>
        <w:rPr>
          <w:rFonts w:ascii="Times New Roman" w:hAnsi="Times New Roman"/>
          <w:lang w:eastAsia="zh-CN"/>
        </w:rPr>
        <w:t>7</w:t>
      </w:r>
      <w:r>
        <w:rPr>
          <w:rFonts w:hint="eastAsia" w:ascii="Times New Roman" w:hAnsi="Times New Roman"/>
          <w:lang w:eastAsia="zh-CN"/>
        </w:rPr>
        <w:t>章，主要内容包括；总则、术语和定义、基本规定、智慧直流建筑能源系统设计、设备选型及布置、施工与验收、运行与管理。</w:t>
      </w:r>
    </w:p>
    <w:bookmarkEnd w:id="7"/>
    <w:p>
      <w:pPr>
        <w:pStyle w:val="9"/>
        <w:spacing w:before="9" w:line="360" w:lineRule="auto"/>
        <w:ind w:left="0" w:firstLine="480" w:firstLineChars="200"/>
        <w:rPr>
          <w:rFonts w:cs="宋体"/>
          <w:lang w:eastAsia="zh-CN"/>
        </w:rPr>
      </w:pPr>
      <w:r>
        <w:rPr>
          <w:rFonts w:hint="eastAsia" w:cs="宋体"/>
          <w:lang w:eastAsia="zh-CN"/>
        </w:rPr>
        <w:t>本文件由上海碳索能源服务股份有限公司负责具体技术内容的解释，由上海市节能环保服务业协会归口管理。各单位及相关人员在本标准的执行过程中如有需要修改或补充之处，请将有关意见或建议寄送至上海碳索能源服务股份有限公司(地址：上海市闵行区春光路9</w:t>
      </w:r>
      <w:r>
        <w:rPr>
          <w:rFonts w:cs="宋体"/>
          <w:lang w:eastAsia="zh-CN"/>
        </w:rPr>
        <w:t>9</w:t>
      </w:r>
      <w:r>
        <w:rPr>
          <w:rFonts w:hint="eastAsia" w:cs="宋体"/>
          <w:lang w:eastAsia="zh-CN"/>
        </w:rPr>
        <w:t>弄6号，邮政编码：2</w:t>
      </w:r>
      <w:r>
        <w:rPr>
          <w:rFonts w:cs="宋体"/>
          <w:lang w:eastAsia="zh-CN"/>
        </w:rPr>
        <w:t>01101</w:t>
      </w:r>
      <w:r>
        <w:rPr>
          <w:rFonts w:hint="eastAsia" w:cs="宋体"/>
          <w:lang w:eastAsia="zh-CN"/>
        </w:rPr>
        <w:t>；邮箱：tech</w:t>
      </w:r>
      <w:r>
        <w:rPr>
          <w:rFonts w:cs="宋体"/>
          <w:lang w:eastAsia="zh-CN"/>
        </w:rPr>
        <w:t>_</w:t>
      </w:r>
      <w:r>
        <w:rPr>
          <w:rFonts w:hint="eastAsia" w:cs="宋体"/>
          <w:lang w:eastAsia="zh-CN"/>
        </w:rPr>
        <w:t>department</w:t>
      </w:r>
      <w:r>
        <w:rPr>
          <w:rFonts w:cs="宋体"/>
          <w:lang w:eastAsia="zh-CN"/>
        </w:rPr>
        <w:t>@discoveryesco.com)</w:t>
      </w:r>
      <w:r>
        <w:rPr>
          <w:rFonts w:hint="eastAsia" w:cs="宋体"/>
          <w:lang w:eastAsia="zh-CN"/>
        </w:rPr>
        <w:t>，以供今后修订时参考。</w:t>
      </w:r>
    </w:p>
    <w:p>
      <w:pPr>
        <w:pStyle w:val="9"/>
        <w:spacing w:before="9" w:line="360" w:lineRule="auto"/>
        <w:ind w:left="0" w:firstLine="480" w:firstLineChars="200"/>
        <w:rPr>
          <w:lang w:eastAsia="zh-CN"/>
        </w:rPr>
      </w:pPr>
    </w:p>
    <w:p>
      <w:pPr>
        <w:pStyle w:val="9"/>
        <w:spacing w:before="9" w:line="360" w:lineRule="auto"/>
        <w:ind w:left="0" w:firstLine="480" w:firstLineChars="200"/>
        <w:rPr>
          <w:lang w:eastAsia="zh-CN"/>
        </w:rPr>
      </w:pPr>
      <w:r>
        <w:rPr>
          <w:rFonts w:hint="eastAsia" w:cs="宋体"/>
          <w:lang w:eastAsia="zh-CN"/>
        </w:rPr>
        <w:t>主编单位：</w:t>
      </w:r>
      <w:r>
        <w:rPr>
          <w:lang w:eastAsia="zh-CN"/>
        </w:rPr>
        <w:t xml:space="preserve"> </w:t>
      </w:r>
      <w:r>
        <w:rPr>
          <w:rFonts w:hint="eastAsia"/>
          <w:lang w:eastAsia="zh-CN"/>
        </w:rPr>
        <w:t>上海碳索能源服务股份有限公司</w:t>
      </w:r>
    </w:p>
    <w:p>
      <w:pPr>
        <w:pStyle w:val="9"/>
        <w:spacing w:before="9" w:line="360" w:lineRule="auto"/>
        <w:ind w:left="0" w:firstLine="480" w:firstLineChars="200"/>
        <w:rPr>
          <w:lang w:eastAsia="zh-CN"/>
        </w:rPr>
      </w:pPr>
      <w:r>
        <w:rPr>
          <w:lang w:eastAsia="zh-CN"/>
        </w:rPr>
        <w:tab/>
      </w:r>
      <w:r>
        <w:rPr>
          <w:lang w:eastAsia="zh-CN"/>
        </w:rPr>
        <w:t xml:space="preserve">        </w:t>
      </w:r>
    </w:p>
    <w:p>
      <w:pPr>
        <w:pStyle w:val="9"/>
        <w:spacing w:before="9" w:line="360" w:lineRule="auto"/>
        <w:ind w:left="0" w:firstLine="480" w:firstLineChars="200"/>
        <w:rPr>
          <w:rFonts w:cs="宋体"/>
          <w:lang w:eastAsia="zh-CN"/>
        </w:rPr>
      </w:pPr>
      <w:r>
        <w:rPr>
          <w:rFonts w:hint="eastAsia" w:cs="宋体"/>
          <w:lang w:eastAsia="zh-CN"/>
        </w:rPr>
        <w:t>参编单位：</w:t>
      </w:r>
      <w:r>
        <w:rPr>
          <w:rFonts w:cs="宋体"/>
          <w:lang w:eastAsia="zh-CN"/>
        </w:rPr>
        <w:t xml:space="preserve"> </w:t>
      </w:r>
      <w:r>
        <w:rPr>
          <w:rFonts w:hint="eastAsia" w:cs="宋体"/>
          <w:lang w:eastAsia="zh-CN"/>
        </w:rPr>
        <w:t>上海电力大学</w:t>
      </w:r>
    </w:p>
    <w:p>
      <w:pPr>
        <w:pStyle w:val="9"/>
        <w:spacing w:before="9" w:line="360" w:lineRule="auto"/>
        <w:ind w:left="1798"/>
        <w:rPr>
          <w:rFonts w:cs="宋体"/>
          <w:lang w:eastAsia="zh-CN"/>
        </w:rPr>
      </w:pPr>
      <w:r>
        <w:rPr>
          <w:rFonts w:hint="eastAsia" w:cs="宋体"/>
          <w:lang w:eastAsia="zh-CN"/>
        </w:rPr>
        <w:t>上海大阈信息技术有限公司</w:t>
      </w:r>
    </w:p>
    <w:p>
      <w:pPr>
        <w:pStyle w:val="9"/>
        <w:spacing w:before="9" w:line="360" w:lineRule="auto"/>
        <w:ind w:left="0" w:firstLine="480" w:firstLineChars="200"/>
        <w:rPr>
          <w:rFonts w:cs="宋体"/>
          <w:lang w:eastAsia="zh-CN"/>
        </w:rPr>
      </w:pPr>
    </w:p>
    <w:p>
      <w:pPr>
        <w:pStyle w:val="9"/>
        <w:spacing w:before="9" w:line="360" w:lineRule="auto"/>
        <w:ind w:left="0" w:firstLine="480" w:firstLineChars="200"/>
        <w:rPr>
          <w:rFonts w:cs="宋体"/>
          <w:lang w:eastAsia="zh-CN"/>
        </w:rPr>
      </w:pPr>
      <w:r>
        <w:rPr>
          <w:rFonts w:hint="eastAsia" w:cs="宋体"/>
          <w:lang w:eastAsia="zh-CN"/>
        </w:rPr>
        <w:t>主要起草人：</w:t>
      </w:r>
      <w:r>
        <w:rPr>
          <w:rFonts w:cs="宋体"/>
          <w:lang w:eastAsia="zh-CN"/>
        </w:rPr>
        <w:t xml:space="preserve"> </w:t>
      </w:r>
    </w:p>
    <w:p>
      <w:pPr>
        <w:pStyle w:val="9"/>
        <w:spacing w:before="9" w:line="360" w:lineRule="auto"/>
        <w:ind w:left="0" w:firstLine="480" w:firstLineChars="200"/>
        <w:rPr>
          <w:rFonts w:cs="宋体"/>
          <w:lang w:eastAsia="zh-CN"/>
        </w:rPr>
      </w:pPr>
      <w:r>
        <w:rPr>
          <w:rFonts w:hint="eastAsia" w:cs="宋体"/>
          <w:lang w:eastAsia="zh-CN"/>
        </w:rPr>
        <w:t xml:space="preserve">主要审查人员： </w:t>
      </w:r>
    </w:p>
    <w:p>
      <w:pPr>
        <w:pStyle w:val="9"/>
        <w:spacing w:before="9" w:line="360" w:lineRule="auto"/>
        <w:ind w:left="0" w:firstLine="480" w:firstLineChars="200"/>
        <w:rPr>
          <w:rFonts w:cs="宋体"/>
          <w:lang w:eastAsia="zh-CN"/>
        </w:rPr>
      </w:pPr>
    </w:p>
    <w:p>
      <w:pPr>
        <w:pStyle w:val="9"/>
        <w:spacing w:before="9" w:line="360" w:lineRule="auto"/>
        <w:ind w:left="0" w:firstLine="480" w:firstLineChars="200"/>
        <w:rPr>
          <w:rFonts w:cs="宋体"/>
          <w:lang w:eastAsia="zh-CN"/>
        </w:rPr>
      </w:pPr>
      <w:r>
        <w:rPr>
          <w:rFonts w:hint="eastAsia" w:cs="宋体"/>
          <w:lang w:eastAsia="zh-CN"/>
        </w:rPr>
        <w:t xml:space="preserve">本文件首期承诺执行单位： </w:t>
      </w:r>
    </w:p>
    <w:p>
      <w:pPr>
        <w:sectPr>
          <w:pgSz w:w="11906" w:h="16838"/>
          <w:pgMar w:top="1440" w:right="1800" w:bottom="1440" w:left="1800" w:header="851" w:footer="992" w:gutter="0"/>
          <w:cols w:space="425" w:num="1"/>
          <w:docGrid w:type="lines" w:linePitch="312" w:charSpace="0"/>
        </w:sectPr>
      </w:pPr>
    </w:p>
    <w:p>
      <w:pPr>
        <w:pStyle w:val="19"/>
        <w:ind w:left="240"/>
        <w:jc w:val="center"/>
      </w:pPr>
      <w:r>
        <w:rPr>
          <w:rFonts w:hint="eastAsia"/>
        </w:rPr>
        <w:t xml:space="preserve">目 </w:t>
      </w:r>
      <w:r>
        <w:t xml:space="preserve">  </w:t>
      </w:r>
      <w:r>
        <w:rPr>
          <w:rFonts w:hint="eastAsia"/>
        </w:rPr>
        <w:t>录</w:t>
      </w:r>
    </w:p>
    <w:p>
      <w:pPr>
        <w:pStyle w:val="19"/>
        <w:ind w:left="240"/>
        <w:rPr>
          <w:rFonts w:asciiTheme="minorHAnsi" w:hAnsiTheme="minorHAnsi" w:eastAsiaTheme="minorEastAsia"/>
          <w:sz w:val="21"/>
        </w:rPr>
      </w:pPr>
      <w:r>
        <w:fldChar w:fldCharType="begin"/>
      </w:r>
      <w:r>
        <w:instrText xml:space="preserve"> TOC \o "1-2" \h \z \u </w:instrText>
      </w:r>
      <w:r>
        <w:fldChar w:fldCharType="separate"/>
      </w:r>
      <w:r>
        <w:fldChar w:fldCharType="begin"/>
      </w:r>
      <w:r>
        <w:instrText xml:space="preserve"> HYPERLINK \l "_Toc113637045" </w:instrText>
      </w:r>
      <w:r>
        <w:fldChar w:fldCharType="separate"/>
      </w:r>
      <w:r>
        <w:rPr>
          <w:rStyle w:val="27"/>
        </w:rPr>
        <w:t>前 言</w:t>
      </w:r>
      <w:r>
        <w:tab/>
      </w:r>
      <w:r>
        <w:fldChar w:fldCharType="begin"/>
      </w:r>
      <w:r>
        <w:instrText xml:space="preserve"> PAGEREF _Toc113637045 \h </w:instrText>
      </w:r>
      <w:r>
        <w:fldChar w:fldCharType="separate"/>
      </w:r>
      <w:r>
        <w:t>2</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"_Toc113637046" </w:instrText>
      </w:r>
      <w:r>
        <w:fldChar w:fldCharType="separate"/>
      </w:r>
      <w:r>
        <w:rPr>
          <w:rStyle w:val="27"/>
        </w:rPr>
        <w:t>1</w:t>
      </w:r>
      <w:r>
        <w:rPr>
          <w:rFonts w:asciiTheme="minorHAnsi" w:hAnsiTheme="minorHAnsi" w:eastAsiaTheme="minorEastAsia"/>
          <w:sz w:val="21"/>
        </w:rPr>
        <w:tab/>
      </w:r>
      <w:r>
        <w:rPr>
          <w:rStyle w:val="27"/>
        </w:rPr>
        <w:t>总则</w:t>
      </w:r>
      <w:r>
        <w:tab/>
      </w:r>
      <w:r>
        <w:fldChar w:fldCharType="begin"/>
      </w:r>
      <w:r>
        <w:instrText xml:space="preserve"> PAGEREF _Toc113637046 \h </w:instrText>
      </w:r>
      <w:r>
        <w:fldChar w:fldCharType="separate"/>
      </w:r>
      <w:r>
        <w:t>4</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"_Toc113637047" </w:instrText>
      </w:r>
      <w:r>
        <w:fldChar w:fldCharType="separate"/>
      </w:r>
      <w:r>
        <w:rPr>
          <w:rStyle w:val="27"/>
        </w:rPr>
        <w:t>2</w:t>
      </w:r>
      <w:r>
        <w:rPr>
          <w:rFonts w:asciiTheme="minorHAnsi" w:hAnsiTheme="minorHAnsi" w:eastAsiaTheme="minorEastAsia"/>
          <w:sz w:val="21"/>
        </w:rPr>
        <w:tab/>
      </w:r>
      <w:r>
        <w:rPr>
          <w:rStyle w:val="27"/>
        </w:rPr>
        <w:t>引用标准目录</w:t>
      </w:r>
      <w:r>
        <w:tab/>
      </w:r>
      <w:r>
        <w:fldChar w:fldCharType="begin"/>
      </w:r>
      <w:r>
        <w:instrText xml:space="preserve"> PAGEREF _Toc113637047 \h </w:instrText>
      </w:r>
      <w:r>
        <w:fldChar w:fldCharType="separate"/>
      </w:r>
      <w:r>
        <w:t>5</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"_Toc113637048" </w:instrText>
      </w:r>
      <w:r>
        <w:fldChar w:fldCharType="separate"/>
      </w:r>
      <w:r>
        <w:rPr>
          <w:rStyle w:val="27"/>
        </w:rPr>
        <w:t>3</w:t>
      </w:r>
      <w:r>
        <w:rPr>
          <w:rFonts w:asciiTheme="minorHAnsi" w:hAnsiTheme="minorHAnsi" w:eastAsiaTheme="minorEastAsia"/>
          <w:sz w:val="21"/>
        </w:rPr>
        <w:tab/>
      </w:r>
      <w:r>
        <w:rPr>
          <w:rStyle w:val="27"/>
        </w:rPr>
        <w:t>术语</w:t>
      </w:r>
      <w:r>
        <w:tab/>
      </w:r>
      <w:r>
        <w:fldChar w:fldCharType="begin"/>
      </w:r>
      <w:r>
        <w:instrText xml:space="preserve"> PAGEREF _Toc113637048 \h </w:instrText>
      </w:r>
      <w:r>
        <w:fldChar w:fldCharType="separate"/>
      </w:r>
      <w:r>
        <w:t>6</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"_Toc113637049" </w:instrText>
      </w:r>
      <w:r>
        <w:fldChar w:fldCharType="separate"/>
      </w:r>
      <w:r>
        <w:rPr>
          <w:rStyle w:val="27"/>
        </w:rPr>
        <w:t>4</w:t>
      </w:r>
      <w:r>
        <w:rPr>
          <w:rFonts w:asciiTheme="minorHAnsi" w:hAnsiTheme="minorHAnsi" w:eastAsiaTheme="minorEastAsia"/>
          <w:sz w:val="21"/>
        </w:rPr>
        <w:tab/>
      </w:r>
      <w:r>
        <w:rPr>
          <w:rStyle w:val="27"/>
        </w:rPr>
        <w:t>基本规定</w:t>
      </w:r>
      <w:r>
        <w:tab/>
      </w:r>
      <w:r>
        <w:fldChar w:fldCharType="begin"/>
      </w:r>
      <w:r>
        <w:instrText xml:space="preserve"> PAGEREF _Toc113637049 \h </w:instrText>
      </w:r>
      <w:r>
        <w:fldChar w:fldCharType="separate"/>
      </w:r>
      <w:r>
        <w:t>7</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"_Toc113637050" </w:instrText>
      </w:r>
      <w:r>
        <w:fldChar w:fldCharType="separate"/>
      </w:r>
      <w:r>
        <w:rPr>
          <w:rStyle w:val="27"/>
        </w:rPr>
        <w:t>5</w:t>
      </w:r>
      <w:r>
        <w:rPr>
          <w:rFonts w:asciiTheme="minorHAnsi" w:hAnsiTheme="minorHAnsi" w:eastAsiaTheme="minorEastAsia"/>
          <w:sz w:val="21"/>
        </w:rPr>
        <w:tab/>
      </w:r>
      <w:r>
        <w:rPr>
          <w:rStyle w:val="27"/>
        </w:rPr>
        <w:t>智慧建筑直流能源系统设计</w:t>
      </w:r>
      <w:r>
        <w:tab/>
      </w:r>
      <w:r>
        <w:fldChar w:fldCharType="begin"/>
      </w:r>
      <w:r>
        <w:instrText xml:space="preserve"> PAGEREF _Toc113637050 \h </w:instrText>
      </w:r>
      <w:r>
        <w:fldChar w:fldCharType="separate"/>
      </w:r>
      <w:r>
        <w:t>8</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"_Toc113637051" </w:instrText>
      </w:r>
      <w:r>
        <w:fldChar w:fldCharType="separate"/>
      </w:r>
      <w:r>
        <w:rPr>
          <w:rStyle w:val="27"/>
        </w:rPr>
        <w:t>5.1</w:t>
      </w:r>
      <w:r>
        <w:rPr>
          <w:rFonts w:asciiTheme="minorHAnsi" w:hAnsiTheme="minorHAnsi" w:eastAsiaTheme="minorEastAsia"/>
          <w:sz w:val="21"/>
        </w:rPr>
        <w:tab/>
      </w:r>
      <w:r>
        <w:rPr>
          <w:rStyle w:val="27"/>
        </w:rPr>
        <w:t>一般规定</w:t>
      </w:r>
      <w:r>
        <w:tab/>
      </w:r>
      <w:r>
        <w:fldChar w:fldCharType="begin"/>
      </w:r>
      <w:r>
        <w:instrText xml:space="preserve"> PAGEREF _Toc113637051 \h </w:instrText>
      </w:r>
      <w:r>
        <w:fldChar w:fldCharType="separate"/>
      </w:r>
      <w:r>
        <w:t>8</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"_Toc113637052" </w:instrText>
      </w:r>
      <w:r>
        <w:fldChar w:fldCharType="separate"/>
      </w:r>
      <w:r>
        <w:rPr>
          <w:rStyle w:val="27"/>
        </w:rPr>
        <w:t>5.2</w:t>
      </w:r>
      <w:r>
        <w:rPr>
          <w:rFonts w:asciiTheme="minorHAnsi" w:hAnsiTheme="minorHAnsi" w:eastAsiaTheme="minorEastAsia"/>
          <w:sz w:val="21"/>
        </w:rPr>
        <w:tab/>
      </w:r>
      <w:r>
        <w:rPr>
          <w:rStyle w:val="27"/>
        </w:rPr>
        <w:t>负荷计算</w:t>
      </w:r>
      <w:r>
        <w:tab/>
      </w:r>
      <w:r>
        <w:fldChar w:fldCharType="begin"/>
      </w:r>
      <w:r>
        <w:instrText xml:space="preserve"> PAGEREF _Toc113637052 \h </w:instrText>
      </w:r>
      <w:r>
        <w:fldChar w:fldCharType="separate"/>
      </w:r>
      <w:r>
        <w:t>8</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"_Toc113637053" </w:instrText>
      </w:r>
      <w:r>
        <w:fldChar w:fldCharType="separate"/>
      </w:r>
      <w:r>
        <w:rPr>
          <w:rStyle w:val="27"/>
        </w:rPr>
        <w:t>5.3</w:t>
      </w:r>
      <w:r>
        <w:rPr>
          <w:rFonts w:asciiTheme="minorHAnsi" w:hAnsiTheme="minorHAnsi" w:eastAsiaTheme="minorEastAsia"/>
          <w:sz w:val="21"/>
        </w:rPr>
        <w:tab/>
      </w:r>
      <w:r>
        <w:rPr>
          <w:rStyle w:val="27"/>
        </w:rPr>
        <w:t>建筑储能系统设计</w:t>
      </w:r>
      <w:r>
        <w:tab/>
      </w:r>
      <w:r>
        <w:fldChar w:fldCharType="begin"/>
      </w:r>
      <w:r>
        <w:instrText xml:space="preserve"> PAGEREF _Toc113637053 \h </w:instrText>
      </w:r>
      <w:r>
        <w:fldChar w:fldCharType="separate"/>
      </w:r>
      <w:r>
        <w:t>8</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"_Toc113637054" </w:instrText>
      </w:r>
      <w:r>
        <w:fldChar w:fldCharType="separate"/>
      </w:r>
      <w:r>
        <w:rPr>
          <w:rStyle w:val="27"/>
        </w:rPr>
        <w:t>5.4</w:t>
      </w:r>
      <w:r>
        <w:rPr>
          <w:rFonts w:asciiTheme="minorHAnsi" w:hAnsiTheme="minorHAnsi" w:eastAsiaTheme="minorEastAsia"/>
          <w:sz w:val="21"/>
        </w:rPr>
        <w:tab/>
      </w:r>
      <w:r>
        <w:rPr>
          <w:rStyle w:val="27"/>
        </w:rPr>
        <w:t>电气系统设计</w:t>
      </w:r>
      <w:r>
        <w:tab/>
      </w:r>
      <w:r>
        <w:fldChar w:fldCharType="begin"/>
      </w:r>
      <w:r>
        <w:instrText xml:space="preserve"> PAGEREF _Toc113637054 \h </w:instrText>
      </w:r>
      <w:r>
        <w:fldChar w:fldCharType="separate"/>
      </w:r>
      <w:r>
        <w:t>9</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"_Toc113637055" </w:instrText>
      </w:r>
      <w:r>
        <w:fldChar w:fldCharType="separate"/>
      </w:r>
      <w:r>
        <w:rPr>
          <w:rStyle w:val="27"/>
        </w:rPr>
        <w:t>5.5</w:t>
      </w:r>
      <w:r>
        <w:rPr>
          <w:rFonts w:asciiTheme="minorHAnsi" w:hAnsiTheme="minorHAnsi" w:eastAsiaTheme="minorEastAsia"/>
          <w:sz w:val="21"/>
        </w:rPr>
        <w:tab/>
      </w:r>
      <w:r>
        <w:rPr>
          <w:rStyle w:val="27"/>
        </w:rPr>
        <w:t>用能系统设计</w:t>
      </w:r>
      <w:r>
        <w:tab/>
      </w:r>
      <w:r>
        <w:fldChar w:fldCharType="begin"/>
      </w:r>
      <w:r>
        <w:instrText xml:space="preserve"> PAGEREF _Toc113637055 \h </w:instrText>
      </w:r>
      <w:r>
        <w:fldChar w:fldCharType="separate"/>
      </w:r>
      <w:r>
        <w:t>10</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"_Toc113637056" </w:instrText>
      </w:r>
      <w:r>
        <w:fldChar w:fldCharType="separate"/>
      </w:r>
      <w:r>
        <w:rPr>
          <w:rStyle w:val="27"/>
        </w:rPr>
        <w:t>5.6</w:t>
      </w:r>
      <w:r>
        <w:rPr>
          <w:rFonts w:asciiTheme="minorHAnsi" w:hAnsiTheme="minorHAnsi" w:eastAsiaTheme="minorEastAsia"/>
          <w:sz w:val="21"/>
        </w:rPr>
        <w:tab/>
      </w:r>
      <w:r>
        <w:rPr>
          <w:rStyle w:val="27"/>
        </w:rPr>
        <w:t>监控管理系统设计</w:t>
      </w:r>
      <w:r>
        <w:tab/>
      </w:r>
      <w:r>
        <w:fldChar w:fldCharType="begin"/>
      </w:r>
      <w:r>
        <w:instrText xml:space="preserve"> PAGEREF _Toc113637056 \h </w:instrText>
      </w:r>
      <w:r>
        <w:fldChar w:fldCharType="separate"/>
      </w:r>
      <w:r>
        <w:t>11</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"_Toc113637057" </w:instrText>
      </w:r>
      <w:r>
        <w:fldChar w:fldCharType="separate"/>
      </w:r>
      <w:r>
        <w:rPr>
          <w:rStyle w:val="27"/>
        </w:rPr>
        <w:t>6</w:t>
      </w:r>
      <w:r>
        <w:rPr>
          <w:rFonts w:asciiTheme="minorHAnsi" w:hAnsiTheme="minorHAnsi" w:eastAsiaTheme="minorEastAsia"/>
          <w:sz w:val="21"/>
        </w:rPr>
        <w:tab/>
      </w:r>
      <w:r>
        <w:rPr>
          <w:rStyle w:val="27"/>
        </w:rPr>
        <w:t>设备选型与布置</w:t>
      </w:r>
      <w:r>
        <w:tab/>
      </w:r>
      <w:r>
        <w:fldChar w:fldCharType="begin"/>
      </w:r>
      <w:r>
        <w:instrText xml:space="preserve"> PAGEREF _Toc113637057 \h </w:instrText>
      </w:r>
      <w:r>
        <w:fldChar w:fldCharType="separate"/>
      </w:r>
      <w:r>
        <w:t>12</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"_Toc113637058" </w:instrText>
      </w:r>
      <w:r>
        <w:fldChar w:fldCharType="separate"/>
      </w:r>
      <w:r>
        <w:rPr>
          <w:rStyle w:val="27"/>
        </w:rPr>
        <w:t>6.1</w:t>
      </w:r>
      <w:r>
        <w:rPr>
          <w:rFonts w:asciiTheme="minorHAnsi" w:hAnsiTheme="minorHAnsi" w:eastAsiaTheme="minorEastAsia"/>
          <w:sz w:val="21"/>
        </w:rPr>
        <w:tab/>
      </w:r>
      <w:r>
        <w:rPr>
          <w:rStyle w:val="27"/>
        </w:rPr>
        <w:t>一般规定</w:t>
      </w:r>
      <w:r>
        <w:tab/>
      </w:r>
      <w:r>
        <w:fldChar w:fldCharType="begin"/>
      </w:r>
      <w:r>
        <w:instrText xml:space="preserve"> PAGEREF _Toc113637058 \h </w:instrText>
      </w:r>
      <w:r>
        <w:fldChar w:fldCharType="separate"/>
      </w:r>
      <w:r>
        <w:t>12</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"_Toc113637059" </w:instrText>
      </w:r>
      <w:r>
        <w:fldChar w:fldCharType="separate"/>
      </w:r>
      <w:r>
        <w:rPr>
          <w:rStyle w:val="27"/>
        </w:rPr>
        <w:t>6.2</w:t>
      </w:r>
      <w:r>
        <w:rPr>
          <w:rFonts w:asciiTheme="minorHAnsi" w:hAnsiTheme="minorHAnsi" w:eastAsiaTheme="minorEastAsia"/>
          <w:sz w:val="21"/>
        </w:rPr>
        <w:tab/>
      </w:r>
      <w:r>
        <w:rPr>
          <w:rStyle w:val="27"/>
        </w:rPr>
        <w:t>供能设备</w:t>
      </w:r>
      <w:r>
        <w:tab/>
      </w:r>
      <w:r>
        <w:fldChar w:fldCharType="begin"/>
      </w:r>
      <w:r>
        <w:instrText xml:space="preserve"> PAGEREF _Toc113637059 \h </w:instrText>
      </w:r>
      <w:r>
        <w:fldChar w:fldCharType="separate"/>
      </w:r>
      <w:r>
        <w:t>12</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"_Toc113637060" </w:instrText>
      </w:r>
      <w:r>
        <w:fldChar w:fldCharType="separate"/>
      </w:r>
      <w:r>
        <w:rPr>
          <w:rStyle w:val="27"/>
        </w:rPr>
        <w:t>6.3</w:t>
      </w:r>
      <w:r>
        <w:rPr>
          <w:rFonts w:asciiTheme="minorHAnsi" w:hAnsiTheme="minorHAnsi" w:eastAsiaTheme="minorEastAsia"/>
          <w:sz w:val="21"/>
        </w:rPr>
        <w:tab/>
      </w:r>
      <w:r>
        <w:rPr>
          <w:rStyle w:val="27"/>
        </w:rPr>
        <w:t>系统保护</w:t>
      </w:r>
      <w:r>
        <w:tab/>
      </w:r>
      <w:r>
        <w:fldChar w:fldCharType="begin"/>
      </w:r>
      <w:r>
        <w:instrText xml:space="preserve"> PAGEREF _Toc113637060 \h </w:instrText>
      </w:r>
      <w:r>
        <w:fldChar w:fldCharType="separate"/>
      </w:r>
      <w:r>
        <w:t>13</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"_Toc113637061" </w:instrText>
      </w:r>
      <w:r>
        <w:fldChar w:fldCharType="separate"/>
      </w:r>
      <w:r>
        <w:rPr>
          <w:rStyle w:val="27"/>
        </w:rPr>
        <w:t>6.4</w:t>
      </w:r>
      <w:r>
        <w:rPr>
          <w:rFonts w:asciiTheme="minorHAnsi" w:hAnsiTheme="minorHAnsi" w:eastAsiaTheme="minorEastAsia"/>
          <w:sz w:val="21"/>
        </w:rPr>
        <w:tab/>
      </w:r>
      <w:r>
        <w:rPr>
          <w:rStyle w:val="27"/>
        </w:rPr>
        <w:t>直流用电设备</w:t>
      </w:r>
      <w:r>
        <w:tab/>
      </w:r>
      <w:r>
        <w:fldChar w:fldCharType="begin"/>
      </w:r>
      <w:r>
        <w:instrText xml:space="preserve"> PAGEREF _Toc113637061 \h </w:instrText>
      </w:r>
      <w:r>
        <w:fldChar w:fldCharType="separate"/>
      </w:r>
      <w:r>
        <w:t>14</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"_Toc113637062" </w:instrText>
      </w:r>
      <w:r>
        <w:fldChar w:fldCharType="separate"/>
      </w:r>
      <w:r>
        <w:rPr>
          <w:rStyle w:val="27"/>
        </w:rPr>
        <w:t>6.5</w:t>
      </w:r>
      <w:r>
        <w:rPr>
          <w:rFonts w:asciiTheme="minorHAnsi" w:hAnsiTheme="minorHAnsi" w:eastAsiaTheme="minorEastAsia"/>
          <w:sz w:val="21"/>
        </w:rPr>
        <w:tab/>
      </w:r>
      <w:r>
        <w:rPr>
          <w:rStyle w:val="27"/>
        </w:rPr>
        <w:t>电力线缆</w:t>
      </w:r>
      <w:r>
        <w:tab/>
      </w:r>
      <w:r>
        <w:fldChar w:fldCharType="begin"/>
      </w:r>
      <w:r>
        <w:instrText xml:space="preserve"> PAGEREF _Toc113637062 \h </w:instrText>
      </w:r>
      <w:r>
        <w:fldChar w:fldCharType="separate"/>
      </w:r>
      <w:r>
        <w:t>15</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"_Toc113637063" </w:instrText>
      </w:r>
      <w:r>
        <w:fldChar w:fldCharType="separate"/>
      </w:r>
      <w:r>
        <w:rPr>
          <w:rStyle w:val="27"/>
        </w:rPr>
        <w:t>7</w:t>
      </w:r>
      <w:r>
        <w:rPr>
          <w:rFonts w:asciiTheme="minorHAnsi" w:hAnsiTheme="minorHAnsi" w:eastAsiaTheme="minorEastAsia"/>
          <w:sz w:val="21"/>
        </w:rPr>
        <w:tab/>
      </w:r>
      <w:r>
        <w:rPr>
          <w:rStyle w:val="27"/>
        </w:rPr>
        <w:t>施工与验收</w:t>
      </w:r>
      <w:r>
        <w:tab/>
      </w:r>
      <w:r>
        <w:fldChar w:fldCharType="begin"/>
      </w:r>
      <w:r>
        <w:instrText xml:space="preserve"> PAGEREF _Toc113637063 \h </w:instrText>
      </w:r>
      <w:r>
        <w:fldChar w:fldCharType="separate"/>
      </w:r>
      <w:r>
        <w:t>16</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"_Toc113637064" </w:instrText>
      </w:r>
      <w:r>
        <w:fldChar w:fldCharType="separate"/>
      </w:r>
      <w:r>
        <w:rPr>
          <w:rStyle w:val="27"/>
        </w:rPr>
        <w:t>7.1</w:t>
      </w:r>
      <w:r>
        <w:rPr>
          <w:rFonts w:asciiTheme="minorHAnsi" w:hAnsiTheme="minorHAnsi" w:eastAsiaTheme="minorEastAsia"/>
          <w:sz w:val="21"/>
        </w:rPr>
        <w:tab/>
      </w:r>
      <w:r>
        <w:rPr>
          <w:rStyle w:val="27"/>
        </w:rPr>
        <w:t>一般规定</w:t>
      </w:r>
      <w:r>
        <w:tab/>
      </w:r>
      <w:r>
        <w:fldChar w:fldCharType="begin"/>
      </w:r>
      <w:r>
        <w:instrText xml:space="preserve"> PAGEREF _Toc113637064 \h </w:instrText>
      </w:r>
      <w:r>
        <w:fldChar w:fldCharType="separate"/>
      </w:r>
      <w:r>
        <w:t>16</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"_Toc113637065" </w:instrText>
      </w:r>
      <w:r>
        <w:fldChar w:fldCharType="separate"/>
      </w:r>
      <w:r>
        <w:rPr>
          <w:rStyle w:val="27"/>
        </w:rPr>
        <w:t>7.2</w:t>
      </w:r>
      <w:r>
        <w:rPr>
          <w:rFonts w:asciiTheme="minorHAnsi" w:hAnsiTheme="minorHAnsi" w:eastAsiaTheme="minorEastAsia"/>
          <w:sz w:val="21"/>
        </w:rPr>
        <w:tab/>
      </w:r>
      <w:r>
        <w:rPr>
          <w:rStyle w:val="27"/>
        </w:rPr>
        <w:t>设备安装</w:t>
      </w:r>
      <w:r>
        <w:tab/>
      </w:r>
      <w:r>
        <w:fldChar w:fldCharType="begin"/>
      </w:r>
      <w:r>
        <w:instrText xml:space="preserve"> PAGEREF _Toc113637065 \h </w:instrText>
      </w:r>
      <w:r>
        <w:fldChar w:fldCharType="separate"/>
      </w:r>
      <w:r>
        <w:t>17</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"_Toc113637066" </w:instrText>
      </w:r>
      <w:r>
        <w:fldChar w:fldCharType="separate"/>
      </w:r>
      <w:r>
        <w:rPr>
          <w:rStyle w:val="27"/>
        </w:rPr>
        <w:t>7.3</w:t>
      </w:r>
      <w:r>
        <w:rPr>
          <w:rFonts w:asciiTheme="minorHAnsi" w:hAnsiTheme="minorHAnsi" w:eastAsiaTheme="minorEastAsia"/>
          <w:sz w:val="21"/>
        </w:rPr>
        <w:tab/>
      </w:r>
      <w:r>
        <w:rPr>
          <w:rStyle w:val="27"/>
        </w:rPr>
        <w:t>电气系统施工安装</w:t>
      </w:r>
      <w:r>
        <w:tab/>
      </w:r>
      <w:r>
        <w:fldChar w:fldCharType="begin"/>
      </w:r>
      <w:r>
        <w:instrText xml:space="preserve"> PAGEREF _Toc113637066 \h </w:instrText>
      </w:r>
      <w:r>
        <w:fldChar w:fldCharType="separate"/>
      </w:r>
      <w:r>
        <w:t>17</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"_Toc113637067" </w:instrText>
      </w:r>
      <w:r>
        <w:fldChar w:fldCharType="separate"/>
      </w:r>
      <w:r>
        <w:rPr>
          <w:rStyle w:val="27"/>
        </w:rPr>
        <w:t>7.4</w:t>
      </w:r>
      <w:r>
        <w:rPr>
          <w:rFonts w:asciiTheme="minorHAnsi" w:hAnsiTheme="minorHAnsi" w:eastAsiaTheme="minorEastAsia"/>
          <w:sz w:val="21"/>
        </w:rPr>
        <w:tab/>
      </w:r>
      <w:r>
        <w:rPr>
          <w:rStyle w:val="27"/>
        </w:rPr>
        <w:t>BIM技术应用</w:t>
      </w:r>
      <w:r>
        <w:tab/>
      </w:r>
      <w:r>
        <w:fldChar w:fldCharType="begin"/>
      </w:r>
      <w:r>
        <w:instrText xml:space="preserve"> PAGEREF _Toc113637067 \h </w:instrText>
      </w:r>
      <w:r>
        <w:fldChar w:fldCharType="separate"/>
      </w:r>
      <w:r>
        <w:t>17</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"_Toc113637068" </w:instrText>
      </w:r>
      <w:r>
        <w:fldChar w:fldCharType="separate"/>
      </w:r>
      <w:r>
        <w:rPr>
          <w:rStyle w:val="27"/>
        </w:rPr>
        <w:t>7.5</w:t>
      </w:r>
      <w:r>
        <w:rPr>
          <w:rFonts w:asciiTheme="minorHAnsi" w:hAnsiTheme="minorHAnsi" w:eastAsiaTheme="minorEastAsia"/>
          <w:sz w:val="21"/>
        </w:rPr>
        <w:tab/>
      </w:r>
      <w:r>
        <w:rPr>
          <w:rStyle w:val="27"/>
        </w:rPr>
        <w:t>智慧建筑直流能源管理系统安装</w:t>
      </w:r>
      <w:r>
        <w:tab/>
      </w:r>
      <w:r>
        <w:fldChar w:fldCharType="begin"/>
      </w:r>
      <w:r>
        <w:instrText xml:space="preserve"> PAGEREF _Toc113637068 \h </w:instrText>
      </w:r>
      <w:r>
        <w:fldChar w:fldCharType="separate"/>
      </w:r>
      <w:r>
        <w:t>18</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"_Toc113637069" </w:instrText>
      </w:r>
      <w:r>
        <w:fldChar w:fldCharType="separate"/>
      </w:r>
      <w:r>
        <w:rPr>
          <w:rStyle w:val="27"/>
        </w:rPr>
        <w:t>7.6</w:t>
      </w:r>
      <w:r>
        <w:rPr>
          <w:rFonts w:asciiTheme="minorHAnsi" w:hAnsiTheme="minorHAnsi" w:eastAsiaTheme="minorEastAsia"/>
          <w:sz w:val="21"/>
        </w:rPr>
        <w:tab/>
      </w:r>
      <w:r>
        <w:rPr>
          <w:rStyle w:val="27"/>
        </w:rPr>
        <w:t>调试及验收</w:t>
      </w:r>
      <w:r>
        <w:tab/>
      </w:r>
      <w:r>
        <w:fldChar w:fldCharType="begin"/>
      </w:r>
      <w:r>
        <w:instrText xml:space="preserve"> PAGEREF _Toc113637069 \h </w:instrText>
      </w:r>
      <w:r>
        <w:fldChar w:fldCharType="separate"/>
      </w:r>
      <w:r>
        <w:t>18</w:t>
      </w:r>
      <w:r>
        <w:fldChar w:fldCharType="end"/>
      </w:r>
      <w:r>
        <w:fldChar w:fldCharType="end"/>
      </w:r>
    </w:p>
    <w:p>
      <w:pPr>
        <w:pStyle w:val="16"/>
        <w:tabs>
          <w:tab w:val="left" w:pos="960"/>
          <w:tab w:val="right" w:leader="dot" w:pos="8296"/>
        </w:tabs>
        <w:rPr>
          <w:rFonts w:asciiTheme="minorHAnsi" w:hAnsiTheme="minorHAnsi" w:eastAsiaTheme="minorEastAsia"/>
          <w:sz w:val="21"/>
        </w:rPr>
      </w:pPr>
      <w:r>
        <w:fldChar w:fldCharType="begin"/>
      </w:r>
      <w:r>
        <w:instrText xml:space="preserve"> HYPERLINK \l "_Toc113637070" </w:instrText>
      </w:r>
      <w:r>
        <w:fldChar w:fldCharType="separate"/>
      </w:r>
      <w:r>
        <w:rPr>
          <w:rStyle w:val="27"/>
        </w:rPr>
        <w:t>8</w:t>
      </w:r>
      <w:r>
        <w:rPr>
          <w:rFonts w:asciiTheme="minorHAnsi" w:hAnsiTheme="minorHAnsi" w:eastAsiaTheme="minorEastAsia"/>
          <w:sz w:val="21"/>
        </w:rPr>
        <w:tab/>
      </w:r>
      <w:r>
        <w:rPr>
          <w:rStyle w:val="27"/>
        </w:rPr>
        <w:t>运行与管理</w:t>
      </w:r>
      <w:r>
        <w:tab/>
      </w:r>
      <w:r>
        <w:fldChar w:fldCharType="begin"/>
      </w:r>
      <w:r>
        <w:instrText xml:space="preserve"> PAGEREF _Toc113637070 \h </w:instrText>
      </w:r>
      <w:r>
        <w:fldChar w:fldCharType="separate"/>
      </w:r>
      <w:r>
        <w:t>20</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"_Toc113637071" </w:instrText>
      </w:r>
      <w:r>
        <w:fldChar w:fldCharType="separate"/>
      </w:r>
      <w:r>
        <w:rPr>
          <w:rStyle w:val="27"/>
        </w:rPr>
        <w:t>8.1</w:t>
      </w:r>
      <w:r>
        <w:rPr>
          <w:rFonts w:asciiTheme="minorHAnsi" w:hAnsiTheme="minorHAnsi" w:eastAsiaTheme="minorEastAsia"/>
          <w:sz w:val="21"/>
        </w:rPr>
        <w:tab/>
      </w:r>
      <w:r>
        <w:rPr>
          <w:rStyle w:val="27"/>
        </w:rPr>
        <w:t>运行与维护</w:t>
      </w:r>
      <w:r>
        <w:tab/>
      </w:r>
      <w:r>
        <w:fldChar w:fldCharType="begin"/>
      </w:r>
      <w:r>
        <w:instrText xml:space="preserve"> PAGEREF _Toc113637071 \h </w:instrText>
      </w:r>
      <w:r>
        <w:fldChar w:fldCharType="separate"/>
      </w:r>
      <w:r>
        <w:t>20</w:t>
      </w:r>
      <w:r>
        <w:fldChar w:fldCharType="end"/>
      </w:r>
      <w:r>
        <w:fldChar w:fldCharType="end"/>
      </w:r>
    </w:p>
    <w:p>
      <w:pPr>
        <w:pStyle w:val="19"/>
        <w:tabs>
          <w:tab w:val="left" w:pos="960"/>
        </w:tabs>
        <w:ind w:left="240"/>
        <w:rPr>
          <w:rFonts w:asciiTheme="minorHAnsi" w:hAnsiTheme="minorHAnsi" w:eastAsiaTheme="minorEastAsia"/>
          <w:sz w:val="21"/>
        </w:rPr>
      </w:pPr>
      <w:r>
        <w:fldChar w:fldCharType="begin"/>
      </w:r>
      <w:r>
        <w:instrText xml:space="preserve"> HYPERLINK \l "_Toc113637072" </w:instrText>
      </w:r>
      <w:r>
        <w:fldChar w:fldCharType="separate"/>
      </w:r>
      <w:r>
        <w:rPr>
          <w:rStyle w:val="27"/>
        </w:rPr>
        <w:t>8.2</w:t>
      </w:r>
      <w:r>
        <w:rPr>
          <w:rFonts w:asciiTheme="minorHAnsi" w:hAnsiTheme="minorHAnsi" w:eastAsiaTheme="minorEastAsia"/>
          <w:sz w:val="21"/>
        </w:rPr>
        <w:tab/>
      </w:r>
      <w:r>
        <w:rPr>
          <w:rStyle w:val="27"/>
        </w:rPr>
        <w:t>节能管理</w:t>
      </w:r>
      <w:r>
        <w:tab/>
      </w:r>
      <w:r>
        <w:fldChar w:fldCharType="begin"/>
      </w:r>
      <w:r>
        <w:instrText xml:space="preserve"> PAGEREF _Toc113637072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sz w:val="21"/>
        </w:rPr>
      </w:pPr>
      <w:r>
        <w:fldChar w:fldCharType="begin"/>
      </w:r>
      <w:r>
        <w:instrText xml:space="preserve"> HYPERLINK \l "_Toc113637073" </w:instrText>
      </w:r>
      <w:r>
        <w:fldChar w:fldCharType="separate"/>
      </w:r>
      <w:r>
        <w:rPr>
          <w:rStyle w:val="27"/>
        </w:rPr>
        <w:t>附录A. 柔性负荷优化分析方法</w:t>
      </w:r>
      <w:r>
        <w:tab/>
      </w:r>
      <w:r>
        <w:fldChar w:fldCharType="begin"/>
      </w:r>
      <w:r>
        <w:instrText xml:space="preserve"> PAGEREF _Toc113637073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sz w:val="21"/>
        </w:rPr>
      </w:pPr>
      <w:r>
        <w:fldChar w:fldCharType="begin"/>
      </w:r>
      <w:r>
        <w:instrText xml:space="preserve"> HYPERLINK \l "_Toc113637074" </w:instrText>
      </w:r>
      <w:r>
        <w:fldChar w:fldCharType="separate"/>
      </w:r>
      <w:r>
        <w:rPr>
          <w:rStyle w:val="27"/>
        </w:rPr>
        <w:t>附录B. 单极和双极供电系统</w:t>
      </w:r>
      <w:r>
        <w:tab/>
      </w:r>
      <w:r>
        <w:fldChar w:fldCharType="begin"/>
      </w:r>
      <w:r>
        <w:instrText xml:space="preserve"> PAGEREF _Toc113637074 \h </w:instrText>
      </w:r>
      <w:r>
        <w:fldChar w:fldCharType="separate"/>
      </w:r>
      <w:r>
        <w:t>22</w:t>
      </w:r>
      <w:r>
        <w:fldChar w:fldCharType="end"/>
      </w:r>
      <w:r>
        <w:fldChar w:fldCharType="end"/>
      </w:r>
    </w:p>
    <w:p>
      <w:pPr>
        <w:pStyle w:val="16"/>
        <w:tabs>
          <w:tab w:val="right" w:leader="dot" w:pos="8296"/>
        </w:tabs>
        <w:rPr>
          <w:rFonts w:asciiTheme="minorHAnsi" w:hAnsiTheme="minorHAnsi" w:eastAsiaTheme="minorEastAsia"/>
          <w:sz w:val="21"/>
        </w:rPr>
      </w:pPr>
      <w:r>
        <w:fldChar w:fldCharType="begin"/>
      </w:r>
      <w:r>
        <w:instrText xml:space="preserve"> HYPERLINK \l "_Toc113637075" </w:instrText>
      </w:r>
      <w:r>
        <w:fldChar w:fldCharType="separate"/>
      </w:r>
      <w:r>
        <w:rPr>
          <w:rStyle w:val="27"/>
        </w:rPr>
        <w:t>附录C. 低压直流配电系统的标称电压</w:t>
      </w:r>
      <w:r>
        <w:tab/>
      </w:r>
      <w:r>
        <w:fldChar w:fldCharType="begin"/>
      </w:r>
      <w:r>
        <w:instrText xml:space="preserve"> PAGEREF _Toc113637075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sz w:val="21"/>
        </w:rPr>
      </w:pPr>
      <w:r>
        <w:fldChar w:fldCharType="begin"/>
      </w:r>
      <w:r>
        <w:instrText xml:space="preserve"> HYPERLINK \l "_Toc113637076" </w:instrText>
      </w:r>
      <w:r>
        <w:fldChar w:fldCharType="separate"/>
      </w:r>
      <w:r>
        <w:rPr>
          <w:rStyle w:val="27"/>
        </w:rPr>
        <w:t>附录D. 设备额定功率与接入电压</w:t>
      </w:r>
      <w:r>
        <w:tab/>
      </w:r>
      <w:r>
        <w:fldChar w:fldCharType="begin"/>
      </w:r>
      <w:r>
        <w:instrText xml:space="preserve"> PAGEREF _Toc113637076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sz w:val="21"/>
        </w:rPr>
      </w:pPr>
      <w:r>
        <w:fldChar w:fldCharType="begin"/>
      </w:r>
      <w:r>
        <w:instrText xml:space="preserve"> HYPERLINK \l "_Toc113637077" </w:instrText>
      </w:r>
      <w:r>
        <w:fldChar w:fldCharType="separate"/>
      </w:r>
      <w:r>
        <w:rPr>
          <w:rStyle w:val="27"/>
        </w:rPr>
        <w:t>附录E. 直流电缆设计选型要求</w:t>
      </w:r>
      <w:r>
        <w:tab/>
      </w:r>
      <w:r>
        <w:fldChar w:fldCharType="begin"/>
      </w:r>
      <w:r>
        <w:instrText xml:space="preserve"> PAGEREF _Toc113637077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sz w:val="21"/>
        </w:rPr>
      </w:pPr>
      <w:r>
        <w:fldChar w:fldCharType="begin"/>
      </w:r>
      <w:r>
        <w:instrText xml:space="preserve"> HYPERLINK \l "_Toc113637078" </w:instrText>
      </w:r>
      <w:r>
        <w:fldChar w:fldCharType="separate"/>
      </w:r>
      <w:r>
        <w:rPr>
          <w:rStyle w:val="27"/>
        </w:rPr>
        <w:t>本标准用词说明</w:t>
      </w:r>
      <w:r>
        <w:tab/>
      </w:r>
      <w:r>
        <w:fldChar w:fldCharType="begin"/>
      </w:r>
      <w:r>
        <w:instrText xml:space="preserve"> PAGEREF _Toc113637078 \h </w:instrText>
      </w:r>
      <w:r>
        <w:fldChar w:fldCharType="separate"/>
      </w:r>
      <w:r>
        <w:t>28</w:t>
      </w:r>
      <w:r>
        <w:fldChar w:fldCharType="end"/>
      </w:r>
      <w:r>
        <w:fldChar w:fldCharType="end"/>
      </w:r>
    </w:p>
    <w:p>
      <w:pPr>
        <w:widowControl/>
        <w:spacing w:line="240" w:lineRule="auto"/>
        <w:jc w:val="left"/>
      </w:pPr>
      <w:r>
        <w:fldChar w:fldCharType="end"/>
      </w:r>
      <w:r>
        <w:br w:type="page"/>
      </w:r>
    </w:p>
    <w:p/>
    <w:p>
      <w:pPr>
        <w:pStyle w:val="2"/>
      </w:pPr>
      <w:bookmarkStart w:id="8" w:name="_Toc113637046"/>
      <w:bookmarkStart w:id="9" w:name="_Toc109750409"/>
      <w:r>
        <w:rPr>
          <w:rFonts w:hint="eastAsia"/>
        </w:rPr>
        <w:t>总则</w:t>
      </w:r>
      <w:bookmarkEnd w:id="8"/>
      <w:bookmarkEnd w:id="9"/>
    </w:p>
    <w:p>
      <w:pPr>
        <w:adjustRightInd w:val="0"/>
        <w:snapToGrid w:val="0"/>
        <w:spacing w:line="400" w:lineRule="exact"/>
        <w:ind w:firstLine="480" w:firstLineChars="200"/>
        <w:rPr>
          <w:szCs w:val="21"/>
        </w:rPr>
      </w:pPr>
      <w:r>
        <w:t>1.0.1</w:t>
      </w:r>
      <w:r>
        <w:rPr>
          <w:rFonts w:hint="eastAsia"/>
          <w:szCs w:val="21"/>
        </w:rPr>
        <w:t>为了贯彻执行国家的节能目标及“双碳”技术经济政策，鼓励可再生能源利用，贯彻“源网荷储”和“光充储用”等技术理念，推动直流微网技术在建筑中的应用，制定本规范。</w:t>
      </w:r>
    </w:p>
    <w:p>
      <w:pPr>
        <w:adjustRightInd w:val="0"/>
        <w:snapToGrid w:val="0"/>
        <w:spacing w:line="400" w:lineRule="exact"/>
        <w:ind w:firstLine="420"/>
        <w:rPr>
          <w:szCs w:val="21"/>
        </w:rPr>
      </w:pPr>
      <w:r>
        <w:rPr>
          <w:szCs w:val="21"/>
        </w:rPr>
        <w:t>1.0.2</w:t>
      </w:r>
      <w:r>
        <w:rPr>
          <w:rFonts w:hint="eastAsia"/>
          <w:szCs w:val="21"/>
        </w:rPr>
        <w:t>本规范适用于采用</w:t>
      </w:r>
      <w:bookmarkStart w:id="10" w:name="OLE_LINK1"/>
      <w:r>
        <w:rPr>
          <w:szCs w:val="21"/>
        </w:rPr>
        <w:t>1500V</w:t>
      </w:r>
      <w:r>
        <w:rPr>
          <w:rFonts w:hint="eastAsia"/>
          <w:szCs w:val="21"/>
        </w:rPr>
        <w:t>及以下直流供电的新建、改建和扩建的建筑，如</w:t>
      </w:r>
      <w:bookmarkEnd w:id="10"/>
      <w:r>
        <w:rPr>
          <w:rFonts w:hint="eastAsia"/>
          <w:szCs w:val="21"/>
        </w:rPr>
        <w:t>公共事业、工商业及家庭户用建筑。</w:t>
      </w:r>
    </w:p>
    <w:p>
      <w:pPr>
        <w:adjustRightInd w:val="0"/>
        <w:snapToGrid w:val="0"/>
        <w:spacing w:line="400" w:lineRule="exact"/>
        <w:ind w:firstLine="420"/>
      </w:pPr>
      <w:r>
        <w:rPr>
          <w:szCs w:val="21"/>
        </w:rPr>
        <w:t xml:space="preserve">1.0.3 </w:t>
      </w:r>
      <w:r>
        <w:rPr>
          <w:rFonts w:hint="eastAsia"/>
          <w:szCs w:val="21"/>
        </w:rPr>
        <w:t>本规范适用于建筑能源系统融合风电、光伏、储能、能源智慧管理系统等一体化能源系统的设计、施工、验收及运行管理技术规范。</w:t>
      </w:r>
    </w:p>
    <w:p>
      <w:pPr>
        <w:adjustRightInd w:val="0"/>
        <w:snapToGrid w:val="0"/>
        <w:spacing w:line="400" w:lineRule="exact"/>
        <w:ind w:firstLine="480" w:firstLineChars="200"/>
        <w:rPr>
          <w:szCs w:val="21"/>
        </w:rPr>
      </w:pPr>
      <w:bookmarkStart w:id="11" w:name="_Toc101903612"/>
      <w:bookmarkStart w:id="12" w:name="_Toc1311_WPSOffice_Level1"/>
      <w:bookmarkStart w:id="13" w:name="_Toc98707209"/>
      <w:r>
        <w:rPr>
          <w:rFonts w:hint="eastAsia"/>
          <w:szCs w:val="21"/>
        </w:rPr>
        <w:t>1</w:t>
      </w:r>
      <w:r>
        <w:rPr>
          <w:szCs w:val="21"/>
        </w:rPr>
        <w:t>.0.4</w:t>
      </w:r>
      <w:r>
        <w:rPr>
          <w:rFonts w:hint="eastAsia"/>
          <w:szCs w:val="21"/>
        </w:rPr>
        <w:t>建筑能源系统设计除应符合本技术规范以外，尚应符合国家现行有关标准的规定。</w:t>
      </w:r>
    </w:p>
    <w:p>
      <w:pPr>
        <w:adjustRightInd w:val="0"/>
        <w:snapToGrid w:val="0"/>
        <w:spacing w:line="400" w:lineRule="exact"/>
        <w:ind w:firstLine="480" w:firstLineChars="200"/>
        <w:rPr>
          <w:szCs w:val="21"/>
        </w:rPr>
        <w:sectPr>
          <w:pgSz w:w="11906" w:h="16838"/>
          <w:pgMar w:top="1440" w:right="1800" w:bottom="1440" w:left="1800" w:header="851" w:footer="992" w:gutter="0"/>
          <w:cols w:space="425" w:num="1"/>
          <w:docGrid w:type="lines" w:linePitch="312" w:charSpace="0"/>
        </w:sectPr>
      </w:pPr>
    </w:p>
    <w:bookmarkEnd w:id="11"/>
    <w:bookmarkEnd w:id="12"/>
    <w:bookmarkEnd w:id="13"/>
    <w:p>
      <w:pPr>
        <w:pStyle w:val="2"/>
      </w:pPr>
      <w:bookmarkStart w:id="14" w:name="_Toc113637047"/>
      <w:bookmarkStart w:id="15" w:name="_Toc101903613"/>
      <w:bookmarkStart w:id="16" w:name="_Toc98707210"/>
      <w:bookmarkStart w:id="17" w:name="_Toc109750410"/>
      <w:bookmarkStart w:id="18" w:name="_Toc838_WPSOffice_Level1"/>
      <w:r>
        <w:t>引用标准目录</w:t>
      </w:r>
      <w:bookmarkEnd w:id="14"/>
    </w:p>
    <w:p>
      <w:pPr>
        <w:adjustRightInd w:val="0"/>
        <w:snapToGrid w:val="0"/>
        <w:spacing w:line="400" w:lineRule="exact"/>
        <w:ind w:firstLine="480" w:firstLineChars="200"/>
        <w:rPr>
          <w:szCs w:val="21"/>
        </w:rPr>
      </w:pPr>
      <w:r>
        <w:rPr>
          <w:rFonts w:hint="eastAsia"/>
          <w:szCs w:val="21"/>
        </w:rPr>
        <w:t>下列文件对于本规范文件的应用是必不可少的。凡是注日期的引用文件，仅注日期的版本适用于本文件。凡是不注日期的引用文件，其最新版本（包括所有的修改单）适用于本文件。</w:t>
      </w:r>
    </w:p>
    <w:p>
      <w:pPr>
        <w:pStyle w:val="51"/>
        <w:numPr>
          <w:ilvl w:val="0"/>
          <w:numId w:val="3"/>
        </w:numPr>
        <w:adjustRightInd w:val="0"/>
        <w:snapToGrid w:val="0"/>
        <w:spacing w:line="400" w:lineRule="exact"/>
        <w:ind w:firstLineChars="0"/>
        <w:rPr>
          <w:szCs w:val="21"/>
        </w:rPr>
      </w:pPr>
      <w:r>
        <w:rPr>
          <w:rFonts w:hint="eastAsia"/>
        </w:rPr>
        <w:t>G</w:t>
      </w:r>
      <w:r>
        <w:t>B50314</w:t>
      </w:r>
      <w:r>
        <w:rPr>
          <w:rFonts w:hint="eastAsia"/>
        </w:rPr>
        <w:t>智能建筑设计标准</w:t>
      </w:r>
    </w:p>
    <w:p>
      <w:pPr>
        <w:pStyle w:val="51"/>
        <w:numPr>
          <w:ilvl w:val="0"/>
          <w:numId w:val="3"/>
        </w:numPr>
        <w:adjustRightInd w:val="0"/>
        <w:snapToGrid w:val="0"/>
        <w:spacing w:line="400" w:lineRule="exact"/>
        <w:ind w:firstLineChars="0"/>
        <w:rPr>
          <w:szCs w:val="21"/>
        </w:rPr>
      </w:pPr>
      <w:r>
        <w:rPr>
          <w:rFonts w:hint="eastAsia"/>
          <w:szCs w:val="21"/>
        </w:rPr>
        <w:t>G</w:t>
      </w:r>
      <w:r>
        <w:rPr>
          <w:szCs w:val="21"/>
        </w:rPr>
        <w:t xml:space="preserve">B 51348-2019 </w:t>
      </w:r>
      <w:r>
        <w:rPr>
          <w:rFonts w:hint="eastAsia"/>
          <w:szCs w:val="21"/>
        </w:rPr>
        <w:t>民用建筑电气设计标准</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 50314-2015</w:t>
      </w:r>
      <w:r>
        <w:rPr>
          <w:rFonts w:hint="eastAsia"/>
          <w:szCs w:val="21"/>
        </w:rPr>
        <w:t>智能建筑设计标准</w:t>
      </w:r>
    </w:p>
    <w:p>
      <w:pPr>
        <w:pStyle w:val="51"/>
        <w:numPr>
          <w:ilvl w:val="0"/>
          <w:numId w:val="3"/>
        </w:numPr>
        <w:adjustRightInd w:val="0"/>
        <w:snapToGrid w:val="0"/>
        <w:spacing w:line="400" w:lineRule="exact"/>
        <w:ind w:firstLineChars="0"/>
        <w:rPr>
          <w:szCs w:val="21"/>
        </w:rPr>
      </w:pPr>
      <w:r>
        <w:rPr>
          <w:rFonts w:hint="eastAsia"/>
          <w:szCs w:val="21"/>
        </w:rPr>
        <w:t>G</w:t>
      </w:r>
      <w:r>
        <w:rPr>
          <w:szCs w:val="21"/>
        </w:rPr>
        <w:t xml:space="preserve">B50736-2012 </w:t>
      </w:r>
      <w:r>
        <w:rPr>
          <w:rFonts w:hint="eastAsia"/>
          <w:szCs w:val="21"/>
        </w:rPr>
        <w:t>民用建筑供暖通风与空气调节设计规范</w:t>
      </w:r>
    </w:p>
    <w:p>
      <w:pPr>
        <w:pStyle w:val="51"/>
        <w:numPr>
          <w:ilvl w:val="0"/>
          <w:numId w:val="3"/>
        </w:numPr>
        <w:adjustRightInd w:val="0"/>
        <w:snapToGrid w:val="0"/>
        <w:spacing w:line="400" w:lineRule="exact"/>
        <w:ind w:firstLineChars="0"/>
        <w:rPr>
          <w:szCs w:val="21"/>
        </w:rPr>
      </w:pPr>
      <w:r>
        <w:rPr>
          <w:rFonts w:hint="eastAsia"/>
          <w:szCs w:val="21"/>
        </w:rPr>
        <w:t>G</w:t>
      </w:r>
      <w:r>
        <w:rPr>
          <w:szCs w:val="21"/>
        </w:rPr>
        <w:t xml:space="preserve">B50189-2015 </w:t>
      </w:r>
      <w:r>
        <w:rPr>
          <w:rFonts w:hint="eastAsia"/>
          <w:szCs w:val="21"/>
        </w:rPr>
        <w:t>公共建筑节能设计标准</w:t>
      </w:r>
    </w:p>
    <w:p>
      <w:pPr>
        <w:pStyle w:val="51"/>
        <w:numPr>
          <w:ilvl w:val="0"/>
          <w:numId w:val="3"/>
        </w:numPr>
        <w:adjustRightInd w:val="0"/>
        <w:snapToGrid w:val="0"/>
        <w:spacing w:line="400" w:lineRule="exact"/>
        <w:ind w:firstLineChars="0"/>
        <w:rPr>
          <w:szCs w:val="21"/>
        </w:rPr>
      </w:pPr>
      <w:r>
        <w:rPr>
          <w:rFonts w:hint="eastAsia"/>
          <w:szCs w:val="21"/>
        </w:rPr>
        <w:t>G</w:t>
      </w:r>
      <w:r>
        <w:rPr>
          <w:szCs w:val="21"/>
        </w:rPr>
        <w:t xml:space="preserve">B 55015-2022 </w:t>
      </w:r>
      <w:r>
        <w:rPr>
          <w:rFonts w:hint="eastAsia"/>
          <w:szCs w:val="21"/>
        </w:rPr>
        <w:t>建筑节能与可再生能源利用通用规范</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B50303-2015</w:t>
      </w:r>
      <w:r>
        <w:rPr>
          <w:rFonts w:hint="eastAsia"/>
          <w:szCs w:val="21"/>
        </w:rPr>
        <w:t>建筑电气工程施工质量验收规范</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B50794-2012</w:t>
      </w:r>
      <w:r>
        <w:rPr>
          <w:rFonts w:hint="eastAsia"/>
          <w:szCs w:val="21"/>
        </w:rPr>
        <w:t>光伏发电站施工规范</w:t>
      </w:r>
    </w:p>
    <w:p>
      <w:pPr>
        <w:pStyle w:val="51"/>
        <w:numPr>
          <w:ilvl w:val="0"/>
          <w:numId w:val="3"/>
        </w:numPr>
        <w:adjustRightInd w:val="0"/>
        <w:snapToGrid w:val="0"/>
        <w:spacing w:line="400" w:lineRule="exact"/>
        <w:ind w:firstLineChars="0"/>
      </w:pPr>
      <w:r>
        <w:rPr>
          <w:rFonts w:hint="eastAsia"/>
        </w:rPr>
        <w:t>G</w:t>
      </w:r>
      <w:r>
        <w:t>B50148-2014</w:t>
      </w:r>
      <w:r>
        <w:rPr>
          <w:rFonts w:hint="eastAsia"/>
        </w:rPr>
        <w:t>电化学储能电站设计规范</w:t>
      </w:r>
    </w:p>
    <w:p>
      <w:pPr>
        <w:pStyle w:val="51"/>
        <w:numPr>
          <w:ilvl w:val="0"/>
          <w:numId w:val="3"/>
        </w:numPr>
        <w:adjustRightInd w:val="0"/>
        <w:snapToGrid w:val="0"/>
        <w:spacing w:line="400" w:lineRule="exact"/>
        <w:ind w:firstLineChars="0"/>
        <w:rPr>
          <w:szCs w:val="21"/>
        </w:rPr>
      </w:pPr>
      <w:r>
        <w:rPr>
          <w:rFonts w:hint="eastAsia"/>
        </w:rPr>
        <w:t>GB</w:t>
      </w:r>
      <w:r>
        <w:t>50053</w:t>
      </w:r>
      <w:r>
        <w:rPr>
          <w:rFonts w:hint="eastAsia"/>
        </w:rPr>
        <w:t xml:space="preserve"> 1</w:t>
      </w:r>
      <w:r>
        <w:t>0</w:t>
      </w:r>
      <w:r>
        <w:rPr>
          <w:rFonts w:hint="eastAsia"/>
        </w:rPr>
        <w:t>kV及以下变电所设计标准</w:t>
      </w:r>
    </w:p>
    <w:p>
      <w:pPr>
        <w:pStyle w:val="51"/>
        <w:numPr>
          <w:ilvl w:val="0"/>
          <w:numId w:val="3"/>
        </w:numPr>
        <w:adjustRightInd w:val="0"/>
        <w:snapToGrid w:val="0"/>
        <w:spacing w:line="400" w:lineRule="exact"/>
        <w:ind w:firstLineChars="0"/>
        <w:rPr>
          <w:szCs w:val="21"/>
        </w:rPr>
      </w:pPr>
      <w:r>
        <w:rPr>
          <w:rFonts w:hint="eastAsia"/>
        </w:rPr>
        <w:t>G</w:t>
      </w:r>
      <w:r>
        <w:t>B14287</w:t>
      </w:r>
      <w:r>
        <w:rPr>
          <w:rFonts w:hint="eastAsia"/>
        </w:rPr>
        <w:t>电气火灾监控系统</w:t>
      </w:r>
    </w:p>
    <w:p>
      <w:pPr>
        <w:pStyle w:val="51"/>
        <w:numPr>
          <w:ilvl w:val="0"/>
          <w:numId w:val="3"/>
        </w:numPr>
        <w:adjustRightInd w:val="0"/>
        <w:snapToGrid w:val="0"/>
        <w:spacing w:line="400" w:lineRule="exact"/>
        <w:ind w:firstLineChars="0"/>
        <w:rPr>
          <w:szCs w:val="21"/>
        </w:rPr>
      </w:pPr>
      <w:r>
        <w:rPr>
          <w:rFonts w:hint="eastAsia"/>
        </w:rPr>
        <w:t>G</w:t>
      </w:r>
      <w:r>
        <w:t>B50411</w:t>
      </w:r>
      <w:r>
        <w:rPr>
          <w:rFonts w:hint="eastAsia"/>
        </w:rPr>
        <w:t>建筑节能工程施工质量验收标准</w:t>
      </w:r>
    </w:p>
    <w:p>
      <w:pPr>
        <w:pStyle w:val="51"/>
        <w:numPr>
          <w:ilvl w:val="0"/>
          <w:numId w:val="3"/>
        </w:numPr>
        <w:adjustRightInd w:val="0"/>
        <w:snapToGrid w:val="0"/>
        <w:spacing w:line="400" w:lineRule="exact"/>
        <w:ind w:firstLineChars="0"/>
        <w:rPr>
          <w:szCs w:val="21"/>
        </w:rPr>
      </w:pPr>
      <w:r>
        <w:rPr>
          <w:rFonts w:hint="eastAsia"/>
        </w:rPr>
        <w:t>G</w:t>
      </w:r>
      <w:r>
        <w:t>B50243</w:t>
      </w:r>
      <w:r>
        <w:rPr>
          <w:rFonts w:hint="eastAsia"/>
        </w:rPr>
        <w:t>通风与空调工程施工质量验收规范</w:t>
      </w:r>
    </w:p>
    <w:p>
      <w:pPr>
        <w:pStyle w:val="51"/>
        <w:numPr>
          <w:ilvl w:val="0"/>
          <w:numId w:val="3"/>
        </w:numPr>
        <w:adjustRightInd w:val="0"/>
        <w:snapToGrid w:val="0"/>
        <w:spacing w:line="400" w:lineRule="exact"/>
        <w:ind w:firstLineChars="0"/>
        <w:rPr>
          <w:szCs w:val="21"/>
        </w:rPr>
      </w:pPr>
      <w:r>
        <w:rPr>
          <w:rFonts w:hint="eastAsia"/>
        </w:rPr>
        <w:t>G</w:t>
      </w:r>
      <w:r>
        <w:t>B50150</w:t>
      </w:r>
      <w:r>
        <w:rPr>
          <w:rFonts w:hint="eastAsia"/>
        </w:rPr>
        <w:t>电气装置安装工程电气设备交接试验标准</w:t>
      </w:r>
    </w:p>
    <w:p>
      <w:pPr>
        <w:pStyle w:val="51"/>
        <w:numPr>
          <w:ilvl w:val="0"/>
          <w:numId w:val="3"/>
        </w:numPr>
        <w:adjustRightInd w:val="0"/>
        <w:snapToGrid w:val="0"/>
        <w:spacing w:line="400" w:lineRule="exact"/>
        <w:ind w:firstLineChars="0"/>
        <w:rPr>
          <w:szCs w:val="21"/>
        </w:rPr>
      </w:pPr>
      <w:r>
        <w:t xml:space="preserve">GB/T 24274 </w:t>
      </w:r>
      <w:r>
        <w:rPr>
          <w:rFonts w:hint="eastAsia"/>
        </w:rPr>
        <w:t>低压抽出式成套开关设备和控制设备</w:t>
      </w:r>
    </w:p>
    <w:p>
      <w:pPr>
        <w:pStyle w:val="51"/>
        <w:numPr>
          <w:ilvl w:val="0"/>
          <w:numId w:val="3"/>
        </w:numPr>
        <w:adjustRightInd w:val="0"/>
        <w:snapToGrid w:val="0"/>
        <w:spacing w:line="400" w:lineRule="exact"/>
        <w:ind w:firstLineChars="0"/>
        <w:rPr>
          <w:szCs w:val="21"/>
        </w:rPr>
      </w:pPr>
      <w:r>
        <w:rPr>
          <w:rFonts w:hint="eastAsia"/>
          <w:szCs w:val="21"/>
        </w:rPr>
        <w:t>G</w:t>
      </w:r>
      <w:r>
        <w:rPr>
          <w:szCs w:val="21"/>
        </w:rPr>
        <w:t xml:space="preserve">B/T35727-2017 </w:t>
      </w:r>
      <w:r>
        <w:rPr>
          <w:rFonts w:hint="eastAsia"/>
          <w:szCs w:val="21"/>
        </w:rPr>
        <w:t>中低压直流配电电压导则</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B/T18451.1-2012</w:t>
      </w:r>
      <w:r>
        <w:rPr>
          <w:rFonts w:hint="eastAsia"/>
          <w:szCs w:val="21"/>
        </w:rPr>
        <w:t>风力发电机组设计要求</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B/T 19826-2014</w:t>
      </w:r>
      <w:r>
        <w:rPr>
          <w:rFonts w:hint="eastAsia"/>
          <w:szCs w:val="21"/>
        </w:rPr>
        <w:t>电力工程直流电源设备通用技术条件及安全要求</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B/T 36270-2018</w:t>
      </w:r>
      <w:r>
        <w:rPr>
          <w:rFonts w:hint="eastAsia"/>
          <w:szCs w:val="21"/>
        </w:rPr>
        <w:t>微电网监控系统技术规范</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B/T 36274-2018</w:t>
      </w:r>
      <w:r>
        <w:rPr>
          <w:rFonts w:hint="eastAsia"/>
          <w:szCs w:val="21"/>
        </w:rPr>
        <w:t>微电网能量管理系统技术规范</w:t>
      </w:r>
    </w:p>
    <w:p>
      <w:pPr>
        <w:pStyle w:val="51"/>
        <w:numPr>
          <w:ilvl w:val="0"/>
          <w:numId w:val="3"/>
        </w:numPr>
        <w:adjustRightInd w:val="0"/>
        <w:snapToGrid w:val="0"/>
        <w:spacing w:line="400" w:lineRule="exact"/>
        <w:ind w:firstLineChars="0"/>
        <w:rPr>
          <w:szCs w:val="21"/>
        </w:rPr>
      </w:pPr>
      <w:r>
        <w:rPr>
          <w:rFonts w:hint="eastAsia"/>
          <w:szCs w:val="21"/>
        </w:rPr>
        <w:t>G</w:t>
      </w:r>
      <w:r>
        <w:rPr>
          <w:szCs w:val="21"/>
        </w:rPr>
        <w:t>B/T 38953-2020</w:t>
      </w:r>
      <w:r>
        <w:rPr>
          <w:rFonts w:hint="eastAsia"/>
          <w:szCs w:val="21"/>
        </w:rPr>
        <w:t>微电网继电保护技术规定</w:t>
      </w:r>
    </w:p>
    <w:p>
      <w:pPr>
        <w:pStyle w:val="51"/>
        <w:numPr>
          <w:ilvl w:val="0"/>
          <w:numId w:val="3"/>
        </w:numPr>
        <w:adjustRightInd w:val="0"/>
        <w:snapToGrid w:val="0"/>
        <w:spacing w:line="400" w:lineRule="exact"/>
        <w:ind w:firstLineChars="0"/>
        <w:rPr>
          <w:szCs w:val="21"/>
        </w:rPr>
      </w:pPr>
      <w:r>
        <w:rPr>
          <w:rFonts w:hint="eastAsia"/>
        </w:rPr>
        <w:t>G</w:t>
      </w:r>
      <w:r>
        <w:t>B/T51437-2021</w:t>
      </w:r>
      <w:r>
        <w:rPr>
          <w:rFonts w:hint="eastAsia"/>
        </w:rPr>
        <w:t>风光储联合发电站设计标准</w:t>
      </w:r>
    </w:p>
    <w:p>
      <w:pPr>
        <w:pStyle w:val="51"/>
        <w:numPr>
          <w:ilvl w:val="0"/>
          <w:numId w:val="3"/>
        </w:numPr>
        <w:adjustRightInd w:val="0"/>
        <w:snapToGrid w:val="0"/>
        <w:spacing w:line="400" w:lineRule="exact"/>
        <w:ind w:firstLineChars="0"/>
        <w:rPr>
          <w:szCs w:val="21"/>
        </w:rPr>
      </w:pPr>
      <w:r>
        <w:rPr>
          <w:rFonts w:hint="eastAsia"/>
        </w:rPr>
        <w:t>G</w:t>
      </w:r>
      <w:r>
        <w:t>B/T51311-2018</w:t>
      </w:r>
      <w:r>
        <w:rPr>
          <w:rFonts w:hint="eastAsia"/>
        </w:rPr>
        <w:t>风光储联合发电站调试及验收标准</w:t>
      </w:r>
    </w:p>
    <w:p>
      <w:pPr>
        <w:pStyle w:val="51"/>
        <w:numPr>
          <w:ilvl w:val="0"/>
          <w:numId w:val="3"/>
        </w:numPr>
        <w:adjustRightInd w:val="0"/>
        <w:snapToGrid w:val="0"/>
        <w:spacing w:line="400" w:lineRule="exact"/>
        <w:ind w:firstLineChars="0"/>
        <w:rPr>
          <w:szCs w:val="21"/>
        </w:rPr>
      </w:pPr>
      <w:r>
        <w:rPr>
          <w:rFonts w:hint="eastAsia"/>
        </w:rPr>
        <w:t>G</w:t>
      </w:r>
      <w:r>
        <w:t>B/T17981-2007</w:t>
      </w:r>
      <w:r>
        <w:rPr>
          <w:rFonts w:hint="eastAsia"/>
        </w:rPr>
        <w:t>空气调节系统经济运行</w:t>
      </w:r>
    </w:p>
    <w:p>
      <w:pPr>
        <w:pStyle w:val="51"/>
        <w:numPr>
          <w:ilvl w:val="0"/>
          <w:numId w:val="3"/>
        </w:numPr>
        <w:adjustRightInd w:val="0"/>
        <w:snapToGrid w:val="0"/>
        <w:spacing w:line="400" w:lineRule="exact"/>
        <w:ind w:firstLineChars="0"/>
        <w:rPr>
          <w:szCs w:val="21"/>
        </w:rPr>
      </w:pPr>
      <w:r>
        <w:rPr>
          <w:szCs w:val="21"/>
        </w:rPr>
        <w:t xml:space="preserve">GB/T 2589 </w:t>
      </w:r>
      <w:r>
        <w:rPr>
          <w:rFonts w:hint="eastAsia"/>
          <w:szCs w:val="21"/>
        </w:rPr>
        <w:t>综合能耗计算通则</w:t>
      </w:r>
    </w:p>
    <w:p>
      <w:pPr>
        <w:pStyle w:val="51"/>
        <w:numPr>
          <w:ilvl w:val="0"/>
          <w:numId w:val="3"/>
        </w:numPr>
        <w:adjustRightInd w:val="0"/>
        <w:snapToGrid w:val="0"/>
        <w:spacing w:line="400" w:lineRule="exact"/>
        <w:ind w:firstLineChars="0"/>
        <w:rPr>
          <w:szCs w:val="21"/>
        </w:rPr>
      </w:pPr>
      <w:r>
        <w:t>DL/T 593</w:t>
      </w:r>
      <w:r>
        <w:rPr>
          <w:rFonts w:hint="eastAsia"/>
        </w:rPr>
        <w:t>高压开关设备和控制设备的公用技术要求</w:t>
      </w:r>
    </w:p>
    <w:p>
      <w:pPr>
        <w:pStyle w:val="51"/>
        <w:numPr>
          <w:ilvl w:val="0"/>
          <w:numId w:val="3"/>
        </w:numPr>
        <w:adjustRightInd w:val="0"/>
        <w:snapToGrid w:val="0"/>
        <w:spacing w:line="400" w:lineRule="exact"/>
        <w:ind w:firstLineChars="0"/>
        <w:rPr>
          <w:szCs w:val="21"/>
        </w:rPr>
      </w:pPr>
      <w:r>
        <w:rPr>
          <w:szCs w:val="21"/>
        </w:rPr>
        <w:t>DL/T</w:t>
      </w:r>
      <w:r>
        <w:rPr>
          <w:rFonts w:hint="eastAsia"/>
          <w:szCs w:val="21"/>
        </w:rPr>
        <w:t xml:space="preserve"> </w:t>
      </w:r>
      <w:r>
        <w:rPr>
          <w:szCs w:val="21"/>
        </w:rPr>
        <w:t>5044</w:t>
      </w:r>
      <w:r>
        <w:rPr>
          <w:rFonts w:hint="eastAsia"/>
          <w:szCs w:val="21"/>
        </w:rPr>
        <w:t>电力工程直流电源系统设计技术规程</w:t>
      </w:r>
    </w:p>
    <w:p>
      <w:pPr>
        <w:pStyle w:val="51"/>
        <w:numPr>
          <w:ilvl w:val="0"/>
          <w:numId w:val="3"/>
        </w:numPr>
        <w:adjustRightInd w:val="0"/>
        <w:snapToGrid w:val="0"/>
        <w:spacing w:line="400" w:lineRule="exact"/>
        <w:ind w:firstLineChars="0"/>
        <w:rPr>
          <w:szCs w:val="21"/>
        </w:rPr>
      </w:pPr>
      <w:r>
        <w:rPr>
          <w:rFonts w:hint="eastAsia"/>
          <w:szCs w:val="21"/>
        </w:rPr>
        <w:t>T</w:t>
      </w:r>
      <w:r>
        <w:rPr>
          <w:szCs w:val="21"/>
        </w:rPr>
        <w:t xml:space="preserve">/CES 003-2018 </w:t>
      </w:r>
      <w:r>
        <w:rPr>
          <w:rFonts w:hint="eastAsia"/>
          <w:szCs w:val="21"/>
        </w:rPr>
        <w:t>直流微电网运行控制技术规范</w:t>
      </w:r>
    </w:p>
    <w:p>
      <w:pPr>
        <w:pStyle w:val="51"/>
        <w:numPr>
          <w:ilvl w:val="0"/>
          <w:numId w:val="3"/>
        </w:numPr>
        <w:adjustRightInd w:val="0"/>
        <w:snapToGrid w:val="0"/>
        <w:spacing w:line="400" w:lineRule="exact"/>
        <w:ind w:firstLineChars="0"/>
        <w:rPr>
          <w:szCs w:val="21"/>
        </w:rPr>
      </w:pPr>
      <w:r>
        <w:rPr>
          <w:rFonts w:hint="eastAsia"/>
        </w:rPr>
        <w:t>T</w:t>
      </w:r>
      <w:r>
        <w:t>/CABEE030-2012</w:t>
      </w:r>
      <w:r>
        <w:rPr>
          <w:rFonts w:hint="eastAsia"/>
        </w:rPr>
        <w:t>民用建筑直流配电设计标准</w:t>
      </w:r>
    </w:p>
    <w:p>
      <w:pPr>
        <w:pStyle w:val="51"/>
        <w:numPr>
          <w:ilvl w:val="0"/>
          <w:numId w:val="3"/>
        </w:numPr>
        <w:adjustRightInd w:val="0"/>
        <w:snapToGrid w:val="0"/>
        <w:spacing w:line="400" w:lineRule="exact"/>
        <w:ind w:firstLineChars="0"/>
        <w:rPr>
          <w:szCs w:val="21"/>
        </w:rPr>
      </w:pPr>
      <w:r>
        <w:rPr>
          <w:rFonts w:hint="eastAsia"/>
        </w:rPr>
        <w:t>T</w:t>
      </w:r>
      <w:r>
        <w:t>/CECS705</w:t>
      </w:r>
      <w:r>
        <w:rPr>
          <w:rFonts w:hint="eastAsia"/>
        </w:rPr>
        <w:t>直流照明系统技术规程</w:t>
      </w:r>
    </w:p>
    <w:p>
      <w:pPr>
        <w:pStyle w:val="2"/>
      </w:pPr>
      <w:bookmarkStart w:id="19" w:name="_Toc113637048"/>
      <w:r>
        <w:rPr>
          <w:rFonts w:hint="eastAsia"/>
        </w:rPr>
        <w:t>术语</w:t>
      </w:r>
      <w:bookmarkEnd w:id="15"/>
      <w:bookmarkEnd w:id="16"/>
      <w:bookmarkEnd w:id="17"/>
      <w:bookmarkEnd w:id="18"/>
      <w:bookmarkEnd w:id="19"/>
    </w:p>
    <w:p>
      <w:pPr>
        <w:pStyle w:val="4"/>
        <w:numPr>
          <w:ilvl w:val="0"/>
          <w:numId w:val="0"/>
        </w:numPr>
      </w:pPr>
      <w:bookmarkStart w:id="20" w:name="_Toc109750412"/>
      <w:bookmarkEnd w:id="20"/>
      <w:bookmarkStart w:id="21" w:name="_Toc113616297"/>
      <w:bookmarkEnd w:id="21"/>
      <w:bookmarkStart w:id="22" w:name="_Toc113616298"/>
      <w:bookmarkEnd w:id="22"/>
      <w:bookmarkStart w:id="23" w:name="_Toc109750413"/>
      <w:bookmarkEnd w:id="23"/>
      <w:bookmarkStart w:id="24" w:name="_Toc113616299"/>
      <w:bookmarkStart w:id="25" w:name="_Toc109750414"/>
      <w:bookmarkStart w:id="26" w:name="_Toc101903615"/>
      <w:r>
        <w:rPr>
          <w:rFonts w:hint="eastAsia"/>
        </w:rPr>
        <w:t>3</w:t>
      </w:r>
      <w:r>
        <w:t xml:space="preserve">.0.1 </w:t>
      </w:r>
      <w:r>
        <w:rPr>
          <w:rFonts w:hint="eastAsia"/>
        </w:rPr>
        <w:t>直流微电网</w:t>
      </w:r>
      <w:r>
        <w:t xml:space="preserve"> DC M</w:t>
      </w:r>
      <w:r>
        <w:rPr>
          <w:rFonts w:hint="eastAsia"/>
        </w:rPr>
        <w:t>ic</w:t>
      </w:r>
      <w:r>
        <w:t>rogrid</w:t>
      </w:r>
      <w:bookmarkEnd w:id="24"/>
      <w:bookmarkEnd w:id="25"/>
      <w:bookmarkEnd w:id="26"/>
    </w:p>
    <w:p>
      <w:pPr>
        <w:adjustRightInd w:val="0"/>
        <w:snapToGrid w:val="0"/>
        <w:spacing w:line="400" w:lineRule="exact"/>
        <w:ind w:firstLine="480" w:firstLineChars="200"/>
        <w:rPr>
          <w:szCs w:val="21"/>
        </w:rPr>
      </w:pPr>
      <w:r>
        <w:rPr>
          <w:rFonts w:hint="eastAsia"/>
          <w:szCs w:val="21"/>
        </w:rPr>
        <w:t>包含分布式光伏、储能系统、风力发电系统、直流用电负载、监控、保护及自动化装置，分为并网型和离网型两种直流微电网系统。</w:t>
      </w:r>
    </w:p>
    <w:p>
      <w:pPr>
        <w:pStyle w:val="4"/>
        <w:numPr>
          <w:ilvl w:val="0"/>
          <w:numId w:val="0"/>
        </w:numPr>
      </w:pPr>
      <w:bookmarkStart w:id="27" w:name="_Toc101903616"/>
      <w:bookmarkStart w:id="28" w:name="_Toc109750415"/>
      <w:bookmarkStart w:id="29" w:name="_Toc113616300"/>
      <w:r>
        <w:rPr>
          <w:rFonts w:hint="eastAsia"/>
        </w:rPr>
        <w:t>3</w:t>
      </w:r>
      <w:r>
        <w:t xml:space="preserve">.0.2 </w:t>
      </w:r>
      <w:r>
        <w:rPr>
          <w:rFonts w:hint="eastAsia"/>
        </w:rPr>
        <w:t xml:space="preserve">能量路由器 </w:t>
      </w:r>
      <w:r>
        <w:t>P</w:t>
      </w:r>
      <w:r>
        <w:rPr>
          <w:rFonts w:hint="eastAsia"/>
        </w:rPr>
        <w:t>ower</w:t>
      </w:r>
      <w:r>
        <w:t xml:space="preserve"> R</w:t>
      </w:r>
      <w:r>
        <w:rPr>
          <w:rFonts w:hint="eastAsia"/>
        </w:rPr>
        <w:t>outer</w:t>
      </w:r>
      <w:bookmarkEnd w:id="27"/>
      <w:bookmarkEnd w:id="28"/>
      <w:bookmarkEnd w:id="29"/>
    </w:p>
    <w:p>
      <w:pPr>
        <w:tabs>
          <w:tab w:val="center" w:pos="4201"/>
          <w:tab w:val="right" w:leader="dot" w:pos="9298"/>
        </w:tabs>
        <w:adjustRightInd w:val="0"/>
        <w:snapToGrid w:val="0"/>
        <w:spacing w:line="400" w:lineRule="exact"/>
        <w:ind w:firstLine="480"/>
        <w:rPr>
          <w:szCs w:val="21"/>
        </w:rPr>
      </w:pPr>
      <w:r>
        <w:rPr>
          <w:rFonts w:hint="eastAsia"/>
          <w:szCs w:val="21"/>
        </w:rPr>
        <w:t>融合信息技术与电力电子变换技术实现能量多输入多输出和对功率主动控制的电能转换设备。</w:t>
      </w:r>
    </w:p>
    <w:p>
      <w:pPr>
        <w:pStyle w:val="4"/>
        <w:numPr>
          <w:ilvl w:val="0"/>
          <w:numId w:val="0"/>
        </w:numPr>
      </w:pPr>
      <w:bookmarkStart w:id="30" w:name="_Toc113616302"/>
      <w:bookmarkEnd w:id="30"/>
      <w:bookmarkStart w:id="31" w:name="_Toc113616301"/>
      <w:bookmarkEnd w:id="31"/>
      <w:bookmarkStart w:id="32" w:name="_Toc113616303"/>
      <w:r>
        <w:rPr>
          <w:rFonts w:hint="eastAsia"/>
        </w:rPr>
        <w:t>3</w:t>
      </w:r>
      <w:r>
        <w:t xml:space="preserve">.0.3 </w:t>
      </w:r>
      <w:r>
        <w:rPr>
          <w:rFonts w:hint="eastAsia"/>
        </w:rPr>
        <w:t xml:space="preserve">柔性负荷 </w:t>
      </w:r>
      <w:r>
        <w:t>Flexible Load</w:t>
      </w:r>
      <w:bookmarkEnd w:id="32"/>
    </w:p>
    <w:p>
      <w:pPr>
        <w:tabs>
          <w:tab w:val="center" w:pos="4201"/>
          <w:tab w:val="right" w:leader="dot" w:pos="9298"/>
        </w:tabs>
        <w:adjustRightInd w:val="0"/>
        <w:snapToGrid w:val="0"/>
        <w:spacing w:line="400" w:lineRule="exact"/>
        <w:ind w:firstLine="480"/>
        <w:rPr>
          <w:szCs w:val="21"/>
        </w:rPr>
      </w:pPr>
      <w:r>
        <w:rPr>
          <w:rFonts w:hint="eastAsia"/>
          <w:szCs w:val="21"/>
        </w:rPr>
        <w:t>使用时间和功率可调整、具有可削减性或可转移性，分为可中断和不可中断两种柔性负荷。</w:t>
      </w:r>
    </w:p>
    <w:p>
      <w:pPr>
        <w:pStyle w:val="4"/>
        <w:numPr>
          <w:ilvl w:val="0"/>
          <w:numId w:val="0"/>
        </w:numPr>
      </w:pPr>
      <w:bookmarkStart w:id="33" w:name="_Toc113616304"/>
      <w:bookmarkEnd w:id="33"/>
      <w:bookmarkStart w:id="34" w:name="_Toc113616306"/>
      <w:bookmarkEnd w:id="34"/>
      <w:bookmarkStart w:id="35" w:name="_Toc113616305"/>
      <w:bookmarkEnd w:id="35"/>
      <w:bookmarkStart w:id="36" w:name="_Toc113616307"/>
      <w:bookmarkEnd w:id="36"/>
      <w:bookmarkStart w:id="37" w:name="_Toc113616308"/>
      <w:bookmarkEnd w:id="37"/>
      <w:bookmarkStart w:id="38" w:name="_Toc113616309"/>
      <w:bookmarkEnd w:id="38"/>
      <w:bookmarkStart w:id="39" w:name="_Toc101903617"/>
      <w:bookmarkStart w:id="40" w:name="_Toc109750416"/>
      <w:bookmarkStart w:id="41" w:name="_Toc113616310"/>
      <w:r>
        <w:rPr>
          <w:rFonts w:hint="eastAsia"/>
        </w:rPr>
        <w:t>3</w:t>
      </w:r>
      <w:r>
        <w:t xml:space="preserve">.0.4 </w:t>
      </w:r>
      <w:r>
        <w:rPr>
          <w:rFonts w:hint="eastAsia"/>
        </w:rPr>
        <w:t>直流负荷 D</w:t>
      </w:r>
      <w:r>
        <w:t>C L</w:t>
      </w:r>
      <w:r>
        <w:rPr>
          <w:rFonts w:hint="eastAsia"/>
        </w:rPr>
        <w:t>oad</w:t>
      </w:r>
      <w:bookmarkEnd w:id="39"/>
      <w:bookmarkEnd w:id="40"/>
      <w:bookmarkEnd w:id="41"/>
    </w:p>
    <w:p>
      <w:pPr>
        <w:ind w:firstLine="480" w:firstLineChars="200"/>
      </w:pPr>
      <w:r>
        <w:rPr>
          <w:rFonts w:hint="eastAsia"/>
        </w:rPr>
        <w:t>采用直流电源供电的用电负荷。</w:t>
      </w:r>
    </w:p>
    <w:p>
      <w:pPr>
        <w:pStyle w:val="4"/>
        <w:numPr>
          <w:ilvl w:val="0"/>
          <w:numId w:val="0"/>
        </w:numPr>
      </w:pPr>
      <w:bookmarkStart w:id="42" w:name="_Toc113616311"/>
      <w:bookmarkEnd w:id="42"/>
      <w:bookmarkStart w:id="43" w:name="_Toc113616312"/>
      <w:bookmarkStart w:id="44" w:name="_Toc101903620"/>
      <w:bookmarkStart w:id="45" w:name="_Toc109750419"/>
      <w:r>
        <w:rPr>
          <w:rFonts w:hint="eastAsia"/>
        </w:rPr>
        <w:t>3</w:t>
      </w:r>
      <w:r>
        <w:t xml:space="preserve">.0.5 </w:t>
      </w:r>
      <w:r>
        <w:rPr>
          <w:rFonts w:hint="eastAsia"/>
        </w:rPr>
        <w:t xml:space="preserve">智慧能源系统 </w:t>
      </w:r>
      <w:r>
        <w:t xml:space="preserve"> Intelligent Energy System</w:t>
      </w:r>
      <w:bookmarkEnd w:id="43"/>
      <w:bookmarkEnd w:id="44"/>
      <w:bookmarkEnd w:id="45"/>
    </w:p>
    <w:p>
      <w:pPr>
        <w:adjustRightInd w:val="0"/>
        <w:snapToGrid w:val="0"/>
        <w:spacing w:line="400" w:lineRule="exact"/>
        <w:ind w:firstLine="420"/>
        <w:rPr>
          <w:szCs w:val="21"/>
        </w:rPr>
      </w:pPr>
      <w:r>
        <w:rPr>
          <w:rFonts w:hint="eastAsia"/>
          <w:szCs w:val="21"/>
        </w:rPr>
        <w:t>采用物联网等信息技术全面采集能源系统信息，自动优化能源系统的需求与供应，实现全生命周期的安全、高效、绿色、智慧运行的能源系统。</w:t>
      </w:r>
    </w:p>
    <w:p>
      <w:pPr>
        <w:pStyle w:val="4"/>
        <w:numPr>
          <w:ilvl w:val="0"/>
          <w:numId w:val="0"/>
        </w:numPr>
      </w:pPr>
      <w:bookmarkStart w:id="46" w:name="_Toc109750421"/>
      <w:bookmarkEnd w:id="46"/>
      <w:bookmarkStart w:id="47" w:name="_Toc113616314"/>
      <w:bookmarkEnd w:id="47"/>
      <w:bookmarkStart w:id="48" w:name="_Toc109750422"/>
      <w:bookmarkEnd w:id="48"/>
      <w:bookmarkStart w:id="49" w:name="_Toc113616313"/>
      <w:bookmarkEnd w:id="49"/>
      <w:bookmarkStart w:id="50" w:name="_Toc101903623"/>
      <w:bookmarkStart w:id="51" w:name="_Toc109750423"/>
      <w:bookmarkStart w:id="52" w:name="_Toc113616315"/>
      <w:r>
        <w:rPr>
          <w:rFonts w:hint="eastAsia"/>
        </w:rPr>
        <w:t>3</w:t>
      </w:r>
      <w:r>
        <w:t xml:space="preserve">.0.6 </w:t>
      </w:r>
      <w:r>
        <w:rPr>
          <w:rFonts w:hint="eastAsia"/>
        </w:rPr>
        <w:t>智慧能源管理平台Intel</w:t>
      </w:r>
      <w:r>
        <w:t>ligent En</w:t>
      </w:r>
      <w:r>
        <w:rPr>
          <w:rFonts w:hint="eastAsia"/>
        </w:rPr>
        <w:t>ergy</w:t>
      </w:r>
      <w:r>
        <w:t xml:space="preserve"> Management Platform</w:t>
      </w:r>
      <w:bookmarkEnd w:id="50"/>
      <w:bookmarkEnd w:id="51"/>
      <w:bookmarkEnd w:id="52"/>
    </w:p>
    <w:p>
      <w:pPr>
        <w:ind w:firstLine="480" w:firstLineChars="200"/>
      </w:pPr>
      <w:r>
        <w:rPr>
          <w:rFonts w:hint="eastAsia"/>
        </w:rPr>
        <w:t>以云计算、大数据、物联网和人工智能等技术为基础，对各种能源的供给和使用情况、系统和设备的运行情况进行集中监视、控制和管理，并通过对各种能源数据进行处理、分析和优化，从而达到多种能源高效利用和综合服务的管理与控制平台。</w:t>
      </w:r>
    </w:p>
    <w:p>
      <w:pPr>
        <w:pStyle w:val="4"/>
        <w:numPr>
          <w:ilvl w:val="0"/>
          <w:numId w:val="0"/>
        </w:numPr>
      </w:pPr>
      <w:bookmarkStart w:id="53" w:name="_Toc113616316"/>
      <w:r>
        <w:rPr>
          <w:rFonts w:hint="eastAsia"/>
        </w:rPr>
        <w:t>3</w:t>
      </w:r>
      <w:r>
        <w:t xml:space="preserve">.0.7 </w:t>
      </w:r>
      <w:r>
        <w:rPr>
          <w:rFonts w:hint="eastAsia"/>
        </w:rPr>
        <w:t>建筑</w:t>
      </w:r>
      <w:bookmarkEnd w:id="53"/>
      <w:bookmarkStart w:id="54" w:name="_Toc113616317"/>
      <w:bookmarkEnd w:id="54"/>
      <w:bookmarkStart w:id="55" w:name="_Toc113616318"/>
      <w:r>
        <w:rPr>
          <w:rFonts w:hint="eastAsia"/>
        </w:rPr>
        <w:t>综合碳排放强度Buildi</w:t>
      </w:r>
      <w:r>
        <w:t>ng Total C</w:t>
      </w:r>
      <w:r>
        <w:rPr>
          <w:rFonts w:hint="eastAsia"/>
        </w:rPr>
        <w:t>arbon</w:t>
      </w:r>
      <w:r>
        <w:t xml:space="preserve"> E</w:t>
      </w:r>
      <w:r>
        <w:rPr>
          <w:rFonts w:hint="eastAsia"/>
        </w:rPr>
        <w:t>mission</w:t>
      </w:r>
      <w:r>
        <w:t xml:space="preserve"> Intensity</w:t>
      </w:r>
      <w:bookmarkEnd w:id="55"/>
    </w:p>
    <w:p>
      <w:pPr>
        <w:adjustRightInd w:val="0"/>
        <w:snapToGrid w:val="0"/>
        <w:spacing w:line="400" w:lineRule="exact"/>
        <w:ind w:firstLine="480" w:firstLineChars="200"/>
        <w:rPr>
          <w:szCs w:val="21"/>
        </w:rPr>
      </w:pPr>
      <w:r>
        <w:rPr>
          <w:rFonts w:hint="eastAsia"/>
          <w:szCs w:val="21"/>
        </w:rPr>
        <w:t>用能建筑在统计报告期内单位建筑面积的二氧化碳排放当量。</w:t>
      </w:r>
    </w:p>
    <w:p>
      <w:pPr>
        <w:pStyle w:val="4"/>
        <w:numPr>
          <w:ilvl w:val="0"/>
          <w:numId w:val="0"/>
        </w:numPr>
      </w:pPr>
      <w:bookmarkStart w:id="56" w:name="_Toc113616319"/>
      <w:r>
        <w:rPr>
          <w:rFonts w:hint="eastAsia"/>
        </w:rPr>
        <w:t>3</w:t>
      </w:r>
      <w:r>
        <w:t xml:space="preserve">.0.8 </w:t>
      </w:r>
      <w:r>
        <w:rPr>
          <w:rFonts w:hint="eastAsia"/>
        </w:rPr>
        <w:t xml:space="preserve">建筑整体用电柔度 </w:t>
      </w:r>
      <w:r>
        <w:t xml:space="preserve">   E</w:t>
      </w:r>
      <w:r>
        <w:rPr>
          <w:rFonts w:hint="eastAsia"/>
        </w:rPr>
        <w:t>l</w:t>
      </w:r>
      <w:r>
        <w:t>ectrical Demand Flexibility of Building</w:t>
      </w:r>
      <w:bookmarkEnd w:id="56"/>
    </w:p>
    <w:p>
      <w:pPr>
        <w:adjustRightInd w:val="0"/>
        <w:snapToGrid w:val="0"/>
        <w:spacing w:line="400" w:lineRule="exact"/>
        <w:ind w:firstLine="480" w:firstLineChars="200"/>
        <w:rPr>
          <w:szCs w:val="21"/>
        </w:rPr>
      </w:pPr>
      <w:r>
        <w:rPr>
          <w:rFonts w:hint="eastAsia"/>
          <w:szCs w:val="21"/>
        </w:rPr>
        <w:t>建筑根据柔性调节信号，自身运行功率主动变化的幅度与不接受柔性调节型号状态下得用电功率的比值。</w:t>
      </w:r>
    </w:p>
    <w:p>
      <w:pPr>
        <w:pStyle w:val="4"/>
        <w:numPr>
          <w:ilvl w:val="0"/>
          <w:numId w:val="0"/>
        </w:numPr>
      </w:pPr>
      <w:bookmarkStart w:id="57" w:name="_Toc113616320"/>
      <w:r>
        <w:rPr>
          <w:rFonts w:hint="eastAsia"/>
        </w:rPr>
        <w:t>3</w:t>
      </w:r>
      <w:r>
        <w:t xml:space="preserve">.0.9 </w:t>
      </w:r>
      <w:r>
        <w:rPr>
          <w:rFonts w:hint="eastAsia"/>
        </w:rPr>
        <w:t xml:space="preserve">功率主动响应 </w:t>
      </w:r>
      <w:r>
        <w:t>A</w:t>
      </w:r>
      <w:r>
        <w:rPr>
          <w:rFonts w:hint="eastAsia"/>
        </w:rPr>
        <w:t>ctive</w:t>
      </w:r>
      <w:r>
        <w:t xml:space="preserve"> Power Response</w:t>
      </w:r>
      <w:bookmarkEnd w:id="57"/>
      <w:r>
        <w:t xml:space="preserve"> </w:t>
      </w:r>
    </w:p>
    <w:p>
      <w:pPr>
        <w:adjustRightInd w:val="0"/>
        <w:snapToGrid w:val="0"/>
        <w:spacing w:line="400" w:lineRule="exact"/>
        <w:ind w:firstLine="480" w:firstLineChars="200"/>
        <w:rPr>
          <w:szCs w:val="21"/>
        </w:rPr>
      </w:pPr>
      <w:r>
        <w:rPr>
          <w:rFonts w:hint="eastAsia"/>
          <w:szCs w:val="21"/>
        </w:rPr>
        <w:t>设备根据直流母线电压变化，通过调整工作状态改变自身用电功率，对直流配电系统功率调整需求主动做出的响应。在本标准中简称</w:t>
      </w:r>
      <w:r>
        <w:rPr>
          <w:szCs w:val="21"/>
        </w:rPr>
        <w:t>APR</w:t>
      </w:r>
      <w:r>
        <w:rPr>
          <w:rFonts w:hint="eastAsia"/>
          <w:szCs w:val="21"/>
        </w:rPr>
        <w:t>。</w:t>
      </w:r>
    </w:p>
    <w:p>
      <w:pPr>
        <w:pStyle w:val="4"/>
        <w:numPr>
          <w:ilvl w:val="0"/>
          <w:numId w:val="0"/>
        </w:numPr>
      </w:pPr>
      <w:r>
        <w:rPr>
          <w:rFonts w:hint="eastAsia"/>
        </w:rPr>
        <w:t>3</w:t>
      </w:r>
      <w:r>
        <w:t xml:space="preserve">.0.10 </w:t>
      </w:r>
      <w:r>
        <w:rPr>
          <w:rFonts w:hint="eastAsia"/>
        </w:rPr>
        <w:t xml:space="preserve">建筑电力交互 </w:t>
      </w:r>
      <w:r>
        <w:t>G</w:t>
      </w:r>
      <w:r>
        <w:rPr>
          <w:rFonts w:hint="eastAsia"/>
        </w:rPr>
        <w:t>rid</w:t>
      </w:r>
      <w:r>
        <w:t xml:space="preserve"> Interactive Building</w:t>
      </w:r>
    </w:p>
    <w:p>
      <w:pPr>
        <w:adjustRightInd w:val="0"/>
        <w:snapToGrid w:val="0"/>
        <w:spacing w:line="400" w:lineRule="exact"/>
        <w:ind w:firstLine="480" w:firstLineChars="200"/>
        <w:rPr>
          <w:szCs w:val="21"/>
        </w:rPr>
      </w:pPr>
      <w:r>
        <w:rPr>
          <w:rFonts w:hint="eastAsia"/>
          <w:szCs w:val="21"/>
        </w:rPr>
        <w:t>设备根据直流母线电压变化，通过调整工作状态改变自身用电功率，对直流配电系统功率调整需求主动做出的响应。在本标准中简称</w:t>
      </w:r>
      <w:r>
        <w:rPr>
          <w:szCs w:val="21"/>
        </w:rPr>
        <w:t>GIB</w:t>
      </w:r>
      <w:r>
        <w:rPr>
          <w:rFonts w:hint="eastAsia"/>
          <w:szCs w:val="21"/>
        </w:rPr>
        <w:t>。</w:t>
      </w:r>
    </w:p>
    <w:p>
      <w:pPr>
        <w:adjustRightInd w:val="0"/>
        <w:snapToGrid w:val="0"/>
        <w:spacing w:line="400" w:lineRule="exact"/>
        <w:ind w:firstLine="480" w:firstLineChars="200"/>
        <w:rPr>
          <w:szCs w:val="21"/>
        </w:rPr>
      </w:pPr>
    </w:p>
    <w:p>
      <w:pPr>
        <w:ind w:firstLine="240" w:firstLineChars="100"/>
      </w:pPr>
      <w:r>
        <w:br w:type="page"/>
      </w:r>
    </w:p>
    <w:p>
      <w:pPr>
        <w:ind w:firstLine="480" w:firstLineChars="200"/>
      </w:pPr>
    </w:p>
    <w:p>
      <w:pPr>
        <w:pStyle w:val="2"/>
      </w:pPr>
      <w:bookmarkStart w:id="58" w:name="_Toc109724118"/>
      <w:bookmarkEnd w:id="58"/>
      <w:bookmarkStart w:id="59" w:name="_Toc109750435"/>
      <w:bookmarkEnd w:id="59"/>
      <w:bookmarkStart w:id="60" w:name="_Toc109750437"/>
      <w:bookmarkEnd w:id="60"/>
      <w:bookmarkStart w:id="61" w:name="_Toc109723954"/>
      <w:bookmarkEnd w:id="61"/>
      <w:bookmarkStart w:id="62" w:name="_Toc109750436"/>
      <w:bookmarkEnd w:id="62"/>
      <w:bookmarkStart w:id="63" w:name="_Toc109750434"/>
      <w:bookmarkEnd w:id="63"/>
      <w:bookmarkStart w:id="64" w:name="_Toc109750430"/>
      <w:bookmarkEnd w:id="64"/>
      <w:bookmarkStart w:id="65" w:name="_Toc109750429"/>
      <w:bookmarkEnd w:id="65"/>
      <w:bookmarkStart w:id="66" w:name="_Toc109750431"/>
      <w:bookmarkEnd w:id="66"/>
      <w:bookmarkStart w:id="67" w:name="_Toc109750433"/>
      <w:bookmarkEnd w:id="67"/>
      <w:bookmarkStart w:id="68" w:name="_Toc109750432"/>
      <w:bookmarkEnd w:id="68"/>
      <w:bookmarkStart w:id="69" w:name="_Toc109750438"/>
      <w:bookmarkEnd w:id="69"/>
      <w:bookmarkStart w:id="70" w:name="_Toc109750424"/>
      <w:bookmarkEnd w:id="70"/>
      <w:bookmarkStart w:id="71" w:name="_Toc109750425"/>
      <w:bookmarkEnd w:id="71"/>
      <w:bookmarkStart w:id="72" w:name="_Toc109750426"/>
      <w:bookmarkEnd w:id="72"/>
      <w:bookmarkStart w:id="73" w:name="_Toc109750428"/>
      <w:bookmarkEnd w:id="73"/>
      <w:bookmarkStart w:id="74" w:name="_Toc109750427"/>
      <w:bookmarkEnd w:id="74"/>
      <w:bookmarkStart w:id="75" w:name="_Toc113637049"/>
      <w:bookmarkStart w:id="76" w:name="_Toc109750439"/>
      <w:bookmarkStart w:id="77" w:name="_Toc101903630"/>
      <w:r>
        <w:rPr>
          <w:rFonts w:hint="eastAsia"/>
        </w:rPr>
        <w:t>基本规定</w:t>
      </w:r>
      <w:bookmarkEnd w:id="75"/>
      <w:bookmarkEnd w:id="76"/>
    </w:p>
    <w:p>
      <w:pPr>
        <w:pStyle w:val="4"/>
        <w:numPr>
          <w:ilvl w:val="0"/>
          <w:numId w:val="0"/>
        </w:numPr>
        <w:ind w:left="141"/>
      </w:pPr>
      <w:bookmarkStart w:id="78" w:name="_Toc113616323"/>
      <w:bookmarkStart w:id="79" w:name="_Toc109750440"/>
      <w:r>
        <w:rPr>
          <w:rFonts w:hint="eastAsia"/>
        </w:rPr>
        <w:t>4</w:t>
      </w:r>
      <w:r>
        <w:t xml:space="preserve">.0.1 </w:t>
      </w:r>
      <w:r>
        <w:rPr>
          <w:rFonts w:hint="eastAsia"/>
        </w:rPr>
        <w:t>智慧直流建筑能源系统应结合项目规划情况，充分利用风能、太阳能等可再生资源，融合储能技术，应用智慧能源管理系统，实现系统安全运行、经济实用、节能环保、智慧运营。</w:t>
      </w:r>
      <w:bookmarkEnd w:id="78"/>
    </w:p>
    <w:p>
      <w:pPr>
        <w:pStyle w:val="4"/>
        <w:numPr>
          <w:ilvl w:val="0"/>
          <w:numId w:val="0"/>
        </w:numPr>
        <w:ind w:left="141"/>
      </w:pPr>
      <w:bookmarkStart w:id="80" w:name="_Toc113616324"/>
      <w:r>
        <w:t xml:space="preserve">4.0.2 </w:t>
      </w:r>
      <w:r>
        <w:rPr>
          <w:rFonts w:hint="eastAsia"/>
        </w:rPr>
        <w:t>智慧直流建筑能源系统的设计原则为立足全局、统筹兼顾和长短期结合，以及节约资源和社会经济与环境综合效益的最大化，实现城市电网供电的供需动态平衡。</w:t>
      </w:r>
      <w:bookmarkEnd w:id="80"/>
    </w:p>
    <w:p>
      <w:pPr>
        <w:pStyle w:val="4"/>
        <w:numPr>
          <w:ilvl w:val="0"/>
          <w:numId w:val="0"/>
        </w:numPr>
        <w:ind w:left="141"/>
      </w:pPr>
      <w:bookmarkStart w:id="81" w:name="_Toc113616325"/>
      <w:r>
        <w:t xml:space="preserve">4.0.3 </w:t>
      </w:r>
      <w:r>
        <w:rPr>
          <w:rFonts w:hint="eastAsia"/>
        </w:rPr>
        <w:t>智慧直流建筑能源系统的设计应在满足用户需求和安全性、可靠性的前提下，采用新技术、新工艺、新设备和新材料，不得采用国家明令禁止和淘汰的设备、产品和材料。</w:t>
      </w:r>
      <w:bookmarkEnd w:id="81"/>
    </w:p>
    <w:p>
      <w:pPr>
        <w:pStyle w:val="4"/>
        <w:numPr>
          <w:ilvl w:val="0"/>
          <w:numId w:val="0"/>
        </w:numPr>
        <w:ind w:left="141"/>
      </w:pPr>
      <w:bookmarkStart w:id="82" w:name="_Toc113616326"/>
      <w:r>
        <w:t xml:space="preserve">4.0.4 </w:t>
      </w:r>
      <w:r>
        <w:rPr>
          <w:rFonts w:hint="eastAsia"/>
        </w:rPr>
        <w:t>智慧直流建筑能源系统交付使用前，专业设计、施工单位和产品的生产厂家应对运行管理部门进行系统技术交底和操作培训，并提交系统操作使用手册。</w:t>
      </w:r>
      <w:bookmarkEnd w:id="82"/>
    </w:p>
    <w:p>
      <w:pPr>
        <w:pStyle w:val="4"/>
        <w:numPr>
          <w:ilvl w:val="0"/>
          <w:numId w:val="0"/>
        </w:numPr>
        <w:ind w:left="141"/>
      </w:pPr>
      <w:bookmarkStart w:id="83" w:name="_Toc113616327"/>
      <w:r>
        <w:t xml:space="preserve">4.0.5 </w:t>
      </w:r>
      <w:r>
        <w:rPr>
          <w:rFonts w:hint="eastAsia"/>
        </w:rPr>
        <w:t>建筑应满足智能化使用需求，并符合G</w:t>
      </w:r>
      <w:r>
        <w:t>B50314</w:t>
      </w:r>
      <w:r>
        <w:rPr>
          <w:rFonts w:hint="eastAsia"/>
        </w:rPr>
        <w:t>相关规定。</w:t>
      </w:r>
      <w:bookmarkEnd w:id="83"/>
    </w:p>
    <w:bookmarkEnd w:id="79"/>
    <w:p/>
    <w:p>
      <w:pPr>
        <w:sectPr>
          <w:pgSz w:w="11906" w:h="16838"/>
          <w:pgMar w:top="1440" w:right="1800" w:bottom="1440" w:left="1800" w:header="851" w:footer="992" w:gutter="0"/>
          <w:cols w:space="425" w:num="1"/>
          <w:docGrid w:type="lines" w:linePitch="312" w:charSpace="0"/>
        </w:sectPr>
      </w:pPr>
    </w:p>
    <w:p>
      <w:pPr>
        <w:pStyle w:val="2"/>
      </w:pPr>
      <w:bookmarkStart w:id="84" w:name="_Toc113637050"/>
      <w:bookmarkStart w:id="85" w:name="_Toc109750445"/>
      <w:r>
        <w:rPr>
          <w:rFonts w:hint="eastAsia"/>
        </w:rPr>
        <w:t>智慧建筑直流能源系统设计</w:t>
      </w:r>
      <w:bookmarkEnd w:id="77"/>
      <w:bookmarkEnd w:id="84"/>
      <w:bookmarkEnd w:id="85"/>
    </w:p>
    <w:p>
      <w:pPr>
        <w:pStyle w:val="3"/>
        <w:jc w:val="center"/>
      </w:pPr>
      <w:bookmarkStart w:id="86" w:name="_Toc101903631"/>
      <w:bookmarkStart w:id="87" w:name="_Toc113637051"/>
      <w:bookmarkStart w:id="88" w:name="_Toc109750446"/>
      <w:r>
        <w:rPr>
          <w:rFonts w:hint="eastAsia"/>
        </w:rPr>
        <w:t>一般规定</w:t>
      </w:r>
      <w:bookmarkEnd w:id="86"/>
      <w:bookmarkEnd w:id="87"/>
      <w:bookmarkEnd w:id="88"/>
    </w:p>
    <w:p>
      <w:pPr>
        <w:pStyle w:val="4"/>
      </w:pPr>
      <w:bookmarkStart w:id="89" w:name="_Toc113616334"/>
      <w:bookmarkEnd w:id="89"/>
      <w:bookmarkStart w:id="90" w:name="_Toc113616336"/>
      <w:bookmarkEnd w:id="90"/>
      <w:bookmarkStart w:id="91" w:name="_Toc113616332"/>
      <w:bookmarkEnd w:id="91"/>
      <w:bookmarkStart w:id="92" w:name="_Toc113616331"/>
      <w:bookmarkEnd w:id="92"/>
      <w:bookmarkStart w:id="93" w:name="_Toc113616335"/>
      <w:bookmarkEnd w:id="93"/>
      <w:bookmarkStart w:id="94" w:name="_Toc113616333"/>
      <w:bookmarkEnd w:id="94"/>
      <w:bookmarkStart w:id="95" w:name="_Toc113616337"/>
      <w:bookmarkStart w:id="96" w:name="_Toc109750449"/>
      <w:r>
        <w:rPr>
          <w:rFonts w:hint="eastAsia"/>
        </w:rPr>
        <w:t>对新建或改（扩）建项目进行智慧能源系统设计流程应包括负荷计算（需求预测或调研分析）、可再生资源条件分析及系统设计、能源系统容量及融合设计、电力系统设计、智慧能源监测管理系统；</w:t>
      </w:r>
      <w:bookmarkEnd w:id="95"/>
    </w:p>
    <w:p>
      <w:pPr>
        <w:pStyle w:val="4"/>
      </w:pPr>
      <w:bookmarkStart w:id="97" w:name="_Toc113616338"/>
      <w:r>
        <w:rPr>
          <w:rFonts w:hint="eastAsia"/>
        </w:rPr>
        <w:t>对新建或改（扩）建智慧建筑采用可再生能源系统时，应分析场域风能和太阳能资源及其自然互补特性，并对相关的地理条件和气候特征进行适应性分析</w:t>
      </w:r>
      <w:bookmarkEnd w:id="97"/>
    </w:p>
    <w:p/>
    <w:bookmarkEnd w:id="96"/>
    <w:p>
      <w:pPr>
        <w:pStyle w:val="3"/>
        <w:jc w:val="center"/>
      </w:pPr>
      <w:bookmarkStart w:id="98" w:name="_Toc101903632"/>
      <w:bookmarkStart w:id="99" w:name="_Toc109750452"/>
      <w:bookmarkStart w:id="100" w:name="_Toc113637052"/>
      <w:r>
        <w:t>负荷</w:t>
      </w:r>
      <w:r>
        <w:rPr>
          <w:rFonts w:hint="eastAsia"/>
        </w:rPr>
        <w:t>计算</w:t>
      </w:r>
      <w:bookmarkEnd w:id="98"/>
      <w:bookmarkEnd w:id="99"/>
      <w:bookmarkEnd w:id="100"/>
    </w:p>
    <w:p>
      <w:pPr>
        <w:pStyle w:val="4"/>
        <w:rPr>
          <w:bCs w:val="0"/>
          <w:szCs w:val="22"/>
        </w:rPr>
      </w:pPr>
      <w:bookmarkStart w:id="101" w:name="_Toc113616340"/>
      <w:r>
        <w:rPr>
          <w:rFonts w:hint="eastAsia"/>
          <w:bCs w:val="0"/>
          <w:szCs w:val="22"/>
        </w:rPr>
        <w:t>建筑用电负荷分级及供电需符合现行国家标准G</w:t>
      </w:r>
      <w:r>
        <w:rPr>
          <w:bCs w:val="0"/>
          <w:szCs w:val="22"/>
        </w:rPr>
        <w:t>B 51348</w:t>
      </w:r>
      <w:r>
        <w:rPr>
          <w:rFonts w:hint="eastAsia"/>
          <w:bCs w:val="0"/>
          <w:szCs w:val="22"/>
        </w:rPr>
        <w:t>的规定。</w:t>
      </w:r>
      <w:bookmarkEnd w:id="101"/>
    </w:p>
    <w:p>
      <w:pPr>
        <w:pStyle w:val="4"/>
        <w:rPr>
          <w:bCs w:val="0"/>
          <w:szCs w:val="22"/>
        </w:rPr>
      </w:pPr>
      <w:bookmarkStart w:id="102" w:name="_Toc113616341"/>
      <w:r>
        <w:rPr>
          <w:rFonts w:hint="eastAsia"/>
          <w:bCs w:val="0"/>
          <w:szCs w:val="22"/>
        </w:rPr>
        <w:t>直流负荷分析宜根据负荷功能、性质进行分类、统计；负荷计算至少包括下列内容：</w:t>
      </w:r>
      <w:bookmarkEnd w:id="102"/>
    </w:p>
    <w:p>
      <w:pPr>
        <w:pStyle w:val="51"/>
        <w:numPr>
          <w:ilvl w:val="0"/>
          <w:numId w:val="4"/>
        </w:numPr>
        <w:ind w:firstLineChars="0"/>
      </w:pPr>
      <w:r>
        <w:rPr>
          <w:rFonts w:hint="eastAsia"/>
        </w:rPr>
        <w:t>分级负荷；</w:t>
      </w:r>
    </w:p>
    <w:p>
      <w:pPr>
        <w:pStyle w:val="51"/>
        <w:numPr>
          <w:ilvl w:val="0"/>
          <w:numId w:val="4"/>
        </w:numPr>
        <w:ind w:firstLineChars="0"/>
      </w:pPr>
      <w:r>
        <w:rPr>
          <w:rFonts w:hint="eastAsia"/>
        </w:rPr>
        <w:t>建筑逐时用电负荷；</w:t>
      </w:r>
    </w:p>
    <w:p>
      <w:pPr>
        <w:pStyle w:val="51"/>
        <w:numPr>
          <w:ilvl w:val="0"/>
          <w:numId w:val="4"/>
        </w:numPr>
        <w:ind w:firstLineChars="0"/>
      </w:pPr>
      <w:r>
        <w:rPr>
          <w:rFonts w:hint="eastAsia"/>
        </w:rPr>
        <w:t>建筑光伏容量与逐时功率；</w:t>
      </w:r>
    </w:p>
    <w:p>
      <w:pPr>
        <w:pStyle w:val="51"/>
        <w:numPr>
          <w:ilvl w:val="0"/>
          <w:numId w:val="4"/>
        </w:numPr>
        <w:ind w:firstLineChars="0"/>
      </w:pPr>
      <w:r>
        <w:rPr>
          <w:rFonts w:hint="eastAsia"/>
        </w:rPr>
        <w:t>建筑储能容量与功率；</w:t>
      </w:r>
    </w:p>
    <w:p>
      <w:pPr>
        <w:pStyle w:val="51"/>
        <w:numPr>
          <w:ilvl w:val="0"/>
          <w:numId w:val="4"/>
        </w:numPr>
        <w:ind w:firstLineChars="0"/>
      </w:pPr>
      <w:r>
        <w:rPr>
          <w:rFonts w:hint="eastAsia"/>
        </w:rPr>
        <w:t>建筑与城市电网公共连接点的容量。</w:t>
      </w:r>
    </w:p>
    <w:p>
      <w:pPr>
        <w:pStyle w:val="4"/>
        <w:rPr>
          <w:bCs w:val="0"/>
          <w:szCs w:val="22"/>
        </w:rPr>
      </w:pPr>
      <w:bookmarkStart w:id="103" w:name="_Toc113616342"/>
      <w:r>
        <w:rPr>
          <w:rFonts w:hint="eastAsia"/>
          <w:bCs w:val="0"/>
          <w:szCs w:val="22"/>
        </w:rPr>
        <w:t>建筑柔性负荷与刚性负荷根据电价进行优化分析，分析方法详见附录A。</w:t>
      </w:r>
      <w:bookmarkEnd w:id="103"/>
    </w:p>
    <w:p>
      <w:pPr>
        <w:pStyle w:val="4"/>
        <w:rPr>
          <w:bCs w:val="0"/>
          <w:szCs w:val="22"/>
        </w:rPr>
      </w:pPr>
      <w:bookmarkStart w:id="104" w:name="_Toc113616343"/>
      <w:r>
        <w:rPr>
          <w:rFonts w:hint="eastAsia"/>
          <w:bCs w:val="0"/>
          <w:szCs w:val="22"/>
        </w:rPr>
        <w:t>新建及改（扩）建建筑需进行空调负荷全年逐时能耗分析，并宜考虑蓄冷蓄热或增加热惰性等方式进行日间的柔性负荷优化。</w:t>
      </w:r>
      <w:bookmarkEnd w:id="104"/>
    </w:p>
    <w:p>
      <w:bookmarkStart w:id="105" w:name="_Toc109750464"/>
      <w:bookmarkStart w:id="106" w:name="_Toc101903633"/>
    </w:p>
    <w:p>
      <w:pPr>
        <w:pStyle w:val="3"/>
        <w:jc w:val="center"/>
      </w:pPr>
      <w:bookmarkStart w:id="107" w:name="_Toc113637053"/>
      <w:r>
        <w:rPr>
          <w:rFonts w:hint="eastAsia"/>
        </w:rPr>
        <w:t>建筑储能系统设计</w:t>
      </w:r>
      <w:bookmarkEnd w:id="105"/>
      <w:bookmarkEnd w:id="107"/>
    </w:p>
    <w:p>
      <w:pPr>
        <w:pStyle w:val="4"/>
        <w:rPr>
          <w:bCs w:val="0"/>
          <w:szCs w:val="22"/>
        </w:rPr>
      </w:pPr>
      <w:bookmarkStart w:id="108" w:name="_Toc113616345"/>
      <w:r>
        <w:rPr>
          <w:rFonts w:hint="eastAsia"/>
          <w:bCs w:val="0"/>
          <w:szCs w:val="22"/>
        </w:rPr>
        <w:t>建筑储能系统技术条件应符合国家标准</w:t>
      </w:r>
      <w:bookmarkStart w:id="109" w:name="OLE_LINK8"/>
      <w:r>
        <w:rPr>
          <w:rFonts w:hint="eastAsia"/>
          <w:bCs w:val="0"/>
          <w:szCs w:val="22"/>
        </w:rPr>
        <w:t>GB/T 36558</w:t>
      </w:r>
      <w:bookmarkEnd w:id="109"/>
      <w:r>
        <w:rPr>
          <w:rFonts w:hint="eastAsia"/>
          <w:bCs w:val="0"/>
          <w:szCs w:val="22"/>
        </w:rPr>
        <w:t>的规定；</w:t>
      </w:r>
      <w:bookmarkEnd w:id="108"/>
    </w:p>
    <w:p>
      <w:pPr>
        <w:pStyle w:val="4"/>
      </w:pPr>
      <w:bookmarkStart w:id="110" w:name="_Toc113616346"/>
      <w:r>
        <w:rPr>
          <w:rFonts w:hint="eastAsia"/>
        </w:rPr>
        <w:t>建筑储能的容量宜根据建筑整体用电柔度，结合用电负荷、建筑光伏发电量以及</w:t>
      </w:r>
      <w:r>
        <w:t>GIB</w:t>
      </w:r>
      <w:r>
        <w:rPr>
          <w:rFonts w:hint="eastAsia"/>
        </w:rPr>
        <w:t>需求，按日平衡原则进行计算</w:t>
      </w:r>
      <w:r>
        <w:rPr>
          <w:rFonts w:hint="eastAsia"/>
          <w:bCs w:val="0"/>
          <w:szCs w:val="22"/>
        </w:rPr>
        <w:t>。</w:t>
      </w:r>
      <w:bookmarkEnd w:id="110"/>
    </w:p>
    <w:p>
      <w:pPr>
        <w:pStyle w:val="4"/>
      </w:pPr>
      <w:bookmarkStart w:id="111" w:name="_Toc113616347"/>
      <w:r>
        <w:rPr>
          <w:rFonts w:hint="eastAsia"/>
        </w:rPr>
        <w:t>储能电池应选择安全、可靠、环保类型，宜根据储能效率、循环寿命、能量密度、功率密度、充放电深度能力、自放电率和环境适应能力等进行选择，当采用锂电池时，充放电次数宜大于</w:t>
      </w:r>
      <w:r>
        <w:t>5000</w:t>
      </w:r>
      <w:r>
        <w:rPr>
          <w:rFonts w:hint="eastAsia"/>
        </w:rPr>
        <w:t>次且容量保持率大于8</w:t>
      </w:r>
      <w:r>
        <w:t>0%</w:t>
      </w:r>
      <w:r>
        <w:rPr>
          <w:rFonts w:hint="eastAsia"/>
        </w:rPr>
        <w:t>。</w:t>
      </w:r>
      <w:bookmarkEnd w:id="111"/>
    </w:p>
    <w:p>
      <w:pPr>
        <w:pStyle w:val="4"/>
      </w:pPr>
      <w:bookmarkStart w:id="112" w:name="_Toc113616348"/>
      <w:bookmarkEnd w:id="112"/>
      <w:bookmarkStart w:id="113" w:name="_Toc113616349"/>
      <w:r>
        <w:rPr>
          <w:rFonts w:hint="eastAsia"/>
        </w:rPr>
        <w:t>建筑储能的充放电循环效率应符合下列要求：</w:t>
      </w:r>
      <w:bookmarkEnd w:id="113"/>
    </w:p>
    <w:p>
      <w:pPr>
        <w:pStyle w:val="51"/>
        <w:numPr>
          <w:ilvl w:val="0"/>
          <w:numId w:val="5"/>
        </w:numPr>
        <w:ind w:firstLineChars="0"/>
      </w:pPr>
      <w:r>
        <w:rPr>
          <w:rFonts w:hint="eastAsia"/>
        </w:rPr>
        <w:t>采用隔离型储能变换器时，充放电循环效率应大于</w:t>
      </w:r>
      <w:r>
        <w:t>90%</w:t>
      </w:r>
      <w:r>
        <w:rPr>
          <w:rFonts w:hint="eastAsia"/>
        </w:rPr>
        <w:t>；</w:t>
      </w:r>
    </w:p>
    <w:p>
      <w:pPr>
        <w:pStyle w:val="51"/>
        <w:numPr>
          <w:ilvl w:val="0"/>
          <w:numId w:val="5"/>
        </w:numPr>
        <w:ind w:firstLineChars="0"/>
      </w:pPr>
      <w:r>
        <w:rPr>
          <w:rFonts w:hint="eastAsia"/>
        </w:rPr>
        <w:t>采用非隔离型储能变换器时，充放电循环效率应大于</w:t>
      </w:r>
      <w:r>
        <w:t>95%</w:t>
      </w:r>
      <w:r>
        <w:rPr>
          <w:rFonts w:hint="eastAsia"/>
        </w:rPr>
        <w:t>。</w:t>
      </w:r>
    </w:p>
    <w:p>
      <w:pPr>
        <w:pStyle w:val="4"/>
      </w:pPr>
      <w:bookmarkStart w:id="114" w:name="_Toc113616350"/>
      <w:r>
        <w:rPr>
          <w:rFonts w:hint="eastAsia"/>
        </w:rPr>
        <w:t>储能安全设计应满足I</w:t>
      </w:r>
      <w:r>
        <w:t>EC60664-1</w:t>
      </w:r>
      <w:r>
        <w:rPr>
          <w:rFonts w:hint="eastAsia"/>
        </w:rPr>
        <w:t>、I</w:t>
      </w:r>
      <w:r>
        <w:t>EC63056-2020</w:t>
      </w:r>
      <w:r>
        <w:rPr>
          <w:rFonts w:hint="eastAsia"/>
        </w:rPr>
        <w:t>、I</w:t>
      </w:r>
      <w:r>
        <w:t>EC62619-2017</w:t>
      </w:r>
      <w:r>
        <w:rPr>
          <w:rFonts w:hint="eastAsia"/>
        </w:rPr>
        <w:t>、I</w:t>
      </w:r>
      <w:r>
        <w:t>EC62933</w:t>
      </w:r>
      <w:r>
        <w:rPr>
          <w:rFonts w:hint="eastAsia"/>
        </w:rPr>
        <w:t>-5-2相关的储能安全及测试要求。</w:t>
      </w:r>
      <w:bookmarkEnd w:id="114"/>
    </w:p>
    <w:p>
      <w:pPr>
        <w:pStyle w:val="4"/>
      </w:pPr>
      <w:bookmarkStart w:id="115" w:name="_Toc113616351"/>
      <w:bookmarkEnd w:id="115"/>
      <w:bookmarkStart w:id="116" w:name="_Toc113616352"/>
      <w:bookmarkEnd w:id="116"/>
      <w:bookmarkStart w:id="117" w:name="_Toc113616353"/>
      <w:bookmarkEnd w:id="117"/>
      <w:bookmarkStart w:id="118" w:name="_Toc113616354"/>
      <w:r>
        <w:rPr>
          <w:rFonts w:hint="eastAsia"/>
        </w:rPr>
        <w:t>储能安装区域应安装可燃气体监测装置对可燃气体进行监测。对安装有储能设备的箱体或者防火分区，应有明显的标识，标识内容不少于以下部分：</w:t>
      </w:r>
      <w:bookmarkEnd w:id="118"/>
    </w:p>
    <w:p>
      <w:pPr>
        <w:pStyle w:val="51"/>
        <w:numPr>
          <w:ilvl w:val="0"/>
          <w:numId w:val="6"/>
        </w:numPr>
        <w:ind w:firstLineChars="0"/>
      </w:pPr>
      <w:r>
        <w:rPr>
          <w:rFonts w:hint="eastAsia"/>
        </w:rPr>
        <w:t>储能类型</w:t>
      </w:r>
    </w:p>
    <w:p>
      <w:pPr>
        <w:pStyle w:val="51"/>
        <w:numPr>
          <w:ilvl w:val="0"/>
          <w:numId w:val="6"/>
        </w:numPr>
        <w:ind w:firstLineChars="0"/>
      </w:pPr>
      <w:r>
        <w:rPr>
          <w:rFonts w:hint="eastAsia"/>
        </w:rPr>
        <w:t>储能容量</w:t>
      </w:r>
    </w:p>
    <w:p>
      <w:pPr>
        <w:pStyle w:val="51"/>
        <w:numPr>
          <w:ilvl w:val="0"/>
          <w:numId w:val="6"/>
        </w:numPr>
        <w:ind w:firstLineChars="0"/>
      </w:pPr>
      <w:r>
        <w:rPr>
          <w:rFonts w:hint="eastAsia"/>
        </w:rPr>
        <w:t>电压</w:t>
      </w:r>
    </w:p>
    <w:p>
      <w:pPr>
        <w:pStyle w:val="51"/>
        <w:numPr>
          <w:ilvl w:val="0"/>
          <w:numId w:val="6"/>
        </w:numPr>
        <w:ind w:firstLineChars="0"/>
      </w:pPr>
      <w:r>
        <w:rPr>
          <w:rFonts w:hint="eastAsia"/>
        </w:rPr>
        <w:t>电流</w:t>
      </w:r>
    </w:p>
    <w:p>
      <w:pPr>
        <w:pStyle w:val="51"/>
        <w:numPr>
          <w:ilvl w:val="0"/>
          <w:numId w:val="6"/>
        </w:numPr>
        <w:ind w:firstLineChars="0"/>
      </w:pPr>
      <w:r>
        <w:rPr>
          <w:rFonts w:hint="eastAsia"/>
        </w:rPr>
        <w:t>适合的灭火方式</w:t>
      </w:r>
    </w:p>
    <w:p/>
    <w:p>
      <w:pPr>
        <w:pStyle w:val="3"/>
        <w:jc w:val="center"/>
      </w:pPr>
      <w:bookmarkStart w:id="119" w:name="_Toc109750473"/>
      <w:bookmarkStart w:id="120" w:name="_Toc113637054"/>
      <w:r>
        <w:rPr>
          <w:rFonts w:hint="eastAsia"/>
        </w:rPr>
        <w:t>电气系统</w:t>
      </w:r>
      <w:bookmarkEnd w:id="119"/>
      <w:r>
        <w:rPr>
          <w:rFonts w:hint="eastAsia"/>
        </w:rPr>
        <w:t>设计</w:t>
      </w:r>
      <w:bookmarkEnd w:id="120"/>
    </w:p>
    <w:p>
      <w:pPr>
        <w:pStyle w:val="4"/>
      </w:pPr>
      <w:bookmarkStart w:id="121" w:name="_Toc113616356"/>
      <w:bookmarkStart w:id="122" w:name="_Toc109750474"/>
      <w:r>
        <w:rPr>
          <w:rFonts w:hint="eastAsia"/>
        </w:rPr>
        <w:t>风光储系统的设计应符合国家标准</w:t>
      </w:r>
      <w:r>
        <w:t>GB/T 51437</w:t>
      </w:r>
      <w:r>
        <w:rPr>
          <w:rFonts w:hint="eastAsia"/>
        </w:rPr>
        <w:t>相关规定；</w:t>
      </w:r>
      <w:bookmarkEnd w:id="121"/>
    </w:p>
    <w:p>
      <w:pPr>
        <w:pStyle w:val="4"/>
      </w:pPr>
      <w:bookmarkStart w:id="123" w:name="_Toc113616357"/>
      <w:r>
        <w:rPr>
          <w:rFonts w:hint="eastAsia"/>
        </w:rPr>
        <w:t>新建及改（扩）建建筑光伏系统设计满足</w:t>
      </w:r>
      <w:r>
        <w:t>GB/T 51368</w:t>
      </w:r>
      <w:bookmarkStart w:id="124" w:name="_Toc109750470"/>
      <w:r>
        <w:rPr>
          <w:rFonts w:hint="eastAsia"/>
        </w:rPr>
        <w:t>设计要求；</w:t>
      </w:r>
      <w:bookmarkEnd w:id="123"/>
      <w:bookmarkEnd w:id="124"/>
    </w:p>
    <w:bookmarkEnd w:id="122"/>
    <w:p>
      <w:pPr>
        <w:pStyle w:val="4"/>
      </w:pPr>
      <w:bookmarkStart w:id="125" w:name="_Toc113616358"/>
      <w:r>
        <w:rPr>
          <w:rFonts w:hint="eastAsia"/>
        </w:rPr>
        <w:t>电气、电源及系统设计应符合G</w:t>
      </w:r>
      <w:r>
        <w:t>B 51348</w:t>
      </w:r>
      <w:r>
        <w:rPr>
          <w:rFonts w:hint="eastAsia"/>
        </w:rPr>
        <w:t>， G</w:t>
      </w:r>
      <w:r>
        <w:t>B/T 35727</w:t>
      </w:r>
      <w:r>
        <w:rPr>
          <w:rFonts w:hint="eastAsia"/>
        </w:rPr>
        <w:t>、</w:t>
      </w:r>
      <w:r>
        <w:rPr>
          <w:kern w:val="0"/>
        </w:rPr>
        <w:t>DL/T 5044</w:t>
      </w:r>
      <w:r>
        <w:rPr>
          <w:rFonts w:hint="eastAsia"/>
        </w:rPr>
        <w:t>的规定；</w:t>
      </w:r>
      <w:bookmarkEnd w:id="125"/>
    </w:p>
    <w:p>
      <w:pPr>
        <w:pStyle w:val="4"/>
      </w:pPr>
      <w:bookmarkStart w:id="126" w:name="_Toc113616359"/>
      <w:r>
        <w:rPr>
          <w:rFonts w:hint="eastAsia"/>
        </w:rPr>
        <w:t>建筑直流配电网接入市政电网时，通过A</w:t>
      </w:r>
      <w:r>
        <w:t>C/DC</w:t>
      </w:r>
      <w:r>
        <w:rPr>
          <w:rFonts w:hint="eastAsia"/>
        </w:rPr>
        <w:t>变换器与电网交互，符合国家标准GB/T 36547、</w:t>
      </w:r>
      <w:r>
        <w:t>GB/T 51437</w:t>
      </w:r>
      <w:r>
        <w:rPr>
          <w:rFonts w:hint="eastAsia"/>
        </w:rPr>
        <w:t>的规定。</w:t>
      </w:r>
      <w:bookmarkEnd w:id="126"/>
    </w:p>
    <w:p>
      <w:pPr>
        <w:pStyle w:val="4"/>
      </w:pPr>
      <w:bookmarkStart w:id="127" w:name="_Toc113616360"/>
      <w:r>
        <w:rPr>
          <w:rFonts w:hint="eastAsia"/>
        </w:rPr>
        <w:t>电气主接线应根据风光储联合发电站在电网中的位置、出线回路数、设备特点及负荷特性等条件确定，并满足供电可靠、运维高效便利、节约投资等要求。</w:t>
      </w:r>
      <w:bookmarkEnd w:id="127"/>
    </w:p>
    <w:p>
      <w:pPr>
        <w:pStyle w:val="4"/>
      </w:pPr>
      <w:bookmarkStart w:id="128" w:name="_Toc113616361"/>
      <w:r>
        <w:rPr>
          <w:rFonts w:hint="eastAsia"/>
        </w:rPr>
        <w:t>智慧建筑用户侧宜采用全直流用电设备，直流微电网系统需通过电能转换装置接入市政电网。</w:t>
      </w:r>
      <w:bookmarkEnd w:id="128"/>
    </w:p>
    <w:p>
      <w:pPr>
        <w:pStyle w:val="4"/>
      </w:pPr>
      <w:bookmarkStart w:id="129" w:name="_Toc113616362"/>
      <w:r>
        <w:rPr>
          <w:rFonts w:hint="eastAsia"/>
        </w:rPr>
        <w:t>直流配电系统拓扑宜采用单极供电结构。对于供电可靠性要求高的场景，可采用双极供电。</w:t>
      </w:r>
      <w:bookmarkEnd w:id="129"/>
      <w:r>
        <w:rPr>
          <w:rFonts w:hint="eastAsia"/>
        </w:rPr>
        <w:t>系统结构形式详见附录B。</w:t>
      </w:r>
    </w:p>
    <w:p>
      <w:pPr>
        <w:pStyle w:val="4"/>
      </w:pPr>
      <w:bookmarkStart w:id="130" w:name="_Toc113616363"/>
      <w:r>
        <w:rPr>
          <w:rFonts w:hint="eastAsia"/>
        </w:rPr>
        <w:t>建筑直流配电系统电压等级不宜超过三级，且低压直流系统电压等级及电压偏差需符合GB</w:t>
      </w:r>
      <w:r>
        <w:t>/</w:t>
      </w:r>
      <w:r>
        <w:rPr>
          <w:rFonts w:hint="eastAsia"/>
        </w:rPr>
        <w:t>T</w:t>
      </w:r>
      <w:r>
        <w:t>-</w:t>
      </w:r>
      <w:r>
        <w:rPr>
          <w:rFonts w:hint="eastAsia"/>
        </w:rPr>
        <w:t>35727要求；标称电压宜从附录</w:t>
      </w:r>
      <w:r>
        <w:t>C</w:t>
      </w:r>
      <w:r>
        <w:rPr>
          <w:rFonts w:hint="eastAsia"/>
        </w:rPr>
        <w:t>表1选取，直流供电电压偏差范围为标称电压的-20%~+5%。</w:t>
      </w:r>
      <w:bookmarkEnd w:id="130"/>
    </w:p>
    <w:p>
      <w:pPr>
        <w:pStyle w:val="4"/>
      </w:pPr>
      <w:bookmarkStart w:id="131" w:name="_Toc113616371"/>
      <w:bookmarkEnd w:id="131"/>
      <w:bookmarkStart w:id="132" w:name="_Toc113616377"/>
      <w:bookmarkEnd w:id="132"/>
      <w:bookmarkStart w:id="133" w:name="_Toc113616364"/>
      <w:bookmarkEnd w:id="133"/>
      <w:bookmarkStart w:id="134" w:name="_Toc113616404"/>
      <w:bookmarkEnd w:id="134"/>
      <w:bookmarkStart w:id="135" w:name="_Toc113616380"/>
      <w:bookmarkEnd w:id="135"/>
      <w:bookmarkStart w:id="136" w:name="_Toc113616398"/>
      <w:bookmarkEnd w:id="136"/>
      <w:bookmarkStart w:id="137" w:name="_Toc113616392"/>
      <w:bookmarkEnd w:id="137"/>
      <w:bookmarkStart w:id="138" w:name="_Toc113616383"/>
      <w:bookmarkEnd w:id="138"/>
      <w:bookmarkStart w:id="139" w:name="_Toc113616389"/>
      <w:bookmarkEnd w:id="139"/>
      <w:bookmarkStart w:id="140" w:name="_Toc113616407"/>
      <w:r>
        <w:rPr>
          <w:rFonts w:hint="eastAsia"/>
        </w:rPr>
        <w:t>直流配电系统中末端设备接入直流母线电压等级宜满足附录</w:t>
      </w:r>
      <w:r>
        <w:t>D</w:t>
      </w:r>
      <w:r>
        <w:rPr>
          <w:rFonts w:hint="eastAsia"/>
        </w:rPr>
        <w:t>表2的要求：</w:t>
      </w:r>
      <w:bookmarkEnd w:id="140"/>
    </w:p>
    <w:p>
      <w:pPr>
        <w:pStyle w:val="4"/>
      </w:pPr>
      <w:bookmarkStart w:id="141" w:name="_Toc113616425"/>
      <w:r>
        <w:t>48V</w:t>
      </w:r>
      <w:r>
        <w:rPr>
          <w:rFonts w:hint="eastAsia"/>
        </w:rPr>
        <w:t>电压等级宜采用多模块分区供电，单模块供电半径不宜超过2</w:t>
      </w:r>
      <w:r>
        <w:t>0</w:t>
      </w:r>
      <w:r>
        <w:rPr>
          <w:rFonts w:hint="eastAsia"/>
        </w:rPr>
        <w:t>m。</w:t>
      </w:r>
      <w:bookmarkEnd w:id="141"/>
    </w:p>
    <w:p>
      <w:pPr>
        <w:pStyle w:val="4"/>
      </w:pPr>
      <w:bookmarkStart w:id="142" w:name="_Toc109750476"/>
      <w:bookmarkStart w:id="143" w:name="_Toc113616426"/>
      <w:r>
        <w:rPr>
          <w:rFonts w:hint="eastAsia"/>
        </w:rPr>
        <w:t>直流配电系统宜采用I</w:t>
      </w:r>
      <w:r>
        <w:t>T接地</w:t>
      </w:r>
      <w:r>
        <w:rPr>
          <w:rFonts w:hint="eastAsia"/>
        </w:rPr>
        <w:t>形式，并应满足下列规定：</w:t>
      </w:r>
      <w:bookmarkEnd w:id="142"/>
      <w:bookmarkEnd w:id="143"/>
    </w:p>
    <w:p>
      <w:pPr>
        <w:pStyle w:val="51"/>
        <w:numPr>
          <w:ilvl w:val="0"/>
          <w:numId w:val="7"/>
        </w:numPr>
        <w:ind w:firstLineChars="0"/>
      </w:pPr>
      <w:r>
        <w:rPr>
          <w:rFonts w:hint="eastAsia"/>
        </w:rPr>
        <w:t>I</w:t>
      </w:r>
      <w:r>
        <w:t>T</w:t>
      </w:r>
      <w:r>
        <w:rPr>
          <w:rFonts w:hint="eastAsia"/>
        </w:rPr>
        <w:t>接地形式接入市政电网时，应采用隔离型交直流变换器。</w:t>
      </w:r>
    </w:p>
    <w:p>
      <w:pPr>
        <w:pStyle w:val="51"/>
        <w:numPr>
          <w:ilvl w:val="0"/>
          <w:numId w:val="7"/>
        </w:numPr>
        <w:ind w:firstLineChars="0"/>
      </w:pPr>
      <w:r>
        <w:rPr>
          <w:rFonts w:hint="eastAsia"/>
        </w:rPr>
        <w:t>当</w:t>
      </w:r>
      <w:r>
        <w:t>110V</w:t>
      </w:r>
      <w:r>
        <w:rPr>
          <w:rFonts w:hint="eastAsia"/>
        </w:rPr>
        <w:t>及以上直流母线采用I</w:t>
      </w:r>
      <w:r>
        <w:t>T</w:t>
      </w:r>
      <w:r>
        <w:rPr>
          <w:rFonts w:hint="eastAsia"/>
        </w:rPr>
        <w:t>接地形式时，宜通过高阻接地，接地电阻阻值应根据直流母线电压等级先择，且不应小于1</w:t>
      </w:r>
      <w:r>
        <w:t>00</w:t>
      </w:r>
      <w:r>
        <w:rPr>
          <w:rFonts w:hint="eastAsia" w:cs="Times New Roman"/>
        </w:rPr>
        <w:t>Ω</w:t>
      </w:r>
      <w:r>
        <w:t>/V</w:t>
      </w:r>
      <w:r>
        <w:rPr>
          <w:rFonts w:hint="eastAsia"/>
        </w:rPr>
        <w:t>。</w:t>
      </w:r>
    </w:p>
    <w:p>
      <w:pPr>
        <w:pStyle w:val="51"/>
        <w:numPr>
          <w:ilvl w:val="0"/>
          <w:numId w:val="7"/>
        </w:numPr>
        <w:ind w:firstLineChars="0"/>
      </w:pPr>
      <w:r>
        <w:rPr>
          <w:rFonts w:hint="eastAsia"/>
        </w:rPr>
        <w:t>交直流变换器、直流变换器、直流用电设备等外壳必须可靠接地。</w:t>
      </w:r>
    </w:p>
    <w:p>
      <w:pPr>
        <w:pStyle w:val="4"/>
      </w:pPr>
      <w:bookmarkStart w:id="144" w:name="_Toc113616427"/>
      <w:r>
        <w:rPr>
          <w:rFonts w:hint="eastAsia"/>
        </w:rPr>
        <w:t>直流配电系统应具备过流保护、电压异常保护功能。并应符合下列规定：</w:t>
      </w:r>
      <w:bookmarkEnd w:id="144"/>
    </w:p>
    <w:p>
      <w:pPr>
        <w:pStyle w:val="51"/>
        <w:numPr>
          <w:ilvl w:val="0"/>
          <w:numId w:val="8"/>
        </w:numPr>
        <w:ind w:firstLineChars="0"/>
      </w:pPr>
      <w:r>
        <w:rPr>
          <w:rFonts w:hint="eastAsia"/>
        </w:rPr>
        <w:t>电流幅值在1</w:t>
      </w:r>
      <w:r>
        <w:t>10%</w:t>
      </w:r>
      <w:r>
        <w:rPr>
          <w:rFonts w:hint="eastAsia"/>
        </w:rPr>
        <w:t>额定电流内，且持续时间不过</w:t>
      </w:r>
      <w:r>
        <w:t>10s</w:t>
      </w:r>
      <w:r>
        <w:rPr>
          <w:rFonts w:hint="eastAsia"/>
        </w:rPr>
        <w:t>，系统应维持正常运行；</w:t>
      </w:r>
    </w:p>
    <w:p>
      <w:pPr>
        <w:pStyle w:val="51"/>
        <w:numPr>
          <w:ilvl w:val="0"/>
          <w:numId w:val="8"/>
        </w:numPr>
        <w:ind w:firstLineChars="0"/>
      </w:pPr>
      <w:r>
        <w:rPr>
          <w:rFonts w:hint="eastAsia"/>
        </w:rPr>
        <w:t>直流母线电压在</w:t>
      </w:r>
      <w:r>
        <w:t>70%~80%</w:t>
      </w:r>
      <w:r>
        <w:rPr>
          <w:rFonts w:hint="eastAsia"/>
        </w:rPr>
        <w:t>额定电压内</w:t>
      </w:r>
      <w:r>
        <w:t>，</w:t>
      </w:r>
      <w:r>
        <w:rPr>
          <w:rFonts w:hint="eastAsia"/>
        </w:rPr>
        <w:t>且持续时间不超过</w:t>
      </w:r>
      <w:r>
        <w:t>10s</w:t>
      </w:r>
      <w:r>
        <w:rPr>
          <w:rFonts w:hint="eastAsia"/>
        </w:rPr>
        <w:t>，系统应维持正常运行；</w:t>
      </w:r>
    </w:p>
    <w:p>
      <w:pPr>
        <w:pStyle w:val="4"/>
      </w:pPr>
      <w:bookmarkStart w:id="145" w:name="_Toc113616428"/>
      <w:r>
        <w:rPr>
          <w:rFonts w:hint="eastAsia"/>
        </w:rPr>
        <w:t>采用</w:t>
      </w:r>
      <w:r>
        <w:t>IT</w:t>
      </w:r>
      <w:r>
        <w:rPr>
          <w:rFonts w:hint="eastAsia"/>
        </w:rPr>
        <w:t>接地型式的直流母线应具备绝缘监测功能，当绝缘电阻低于报警阈值，绝缘监测装置应发出声光报警。</w:t>
      </w:r>
      <w:bookmarkEnd w:id="145"/>
    </w:p>
    <w:p>
      <w:pPr>
        <w:pStyle w:val="4"/>
      </w:pPr>
      <w:bookmarkStart w:id="146" w:name="_Toc113616429"/>
      <w:r>
        <w:rPr>
          <w:rFonts w:hint="eastAsia"/>
        </w:rPr>
        <w:t>建筑直流配电系统应具备安全防护能力。一级、二级母线应符合下列规定：</w:t>
      </w:r>
      <w:bookmarkEnd w:id="146"/>
    </w:p>
    <w:p>
      <w:pPr>
        <w:pStyle w:val="51"/>
        <w:numPr>
          <w:ilvl w:val="0"/>
          <w:numId w:val="9"/>
        </w:numPr>
        <w:ind w:firstLineChars="0"/>
      </w:pPr>
      <w:r>
        <w:rPr>
          <w:rFonts w:hint="eastAsia"/>
        </w:rPr>
        <w:t>电源设备所在配电回路应设置具备隔离功能的多极型隔离电器；</w:t>
      </w:r>
    </w:p>
    <w:p>
      <w:pPr>
        <w:pStyle w:val="51"/>
        <w:numPr>
          <w:ilvl w:val="0"/>
          <w:numId w:val="9"/>
        </w:numPr>
        <w:ind w:firstLineChars="0"/>
      </w:pPr>
      <w:r>
        <w:rPr>
          <w:rFonts w:hint="eastAsia"/>
        </w:rPr>
        <w:t>当配电回路从母线断开后，配电回路的电源设备需2s内停止运行并从配电断开回路。</w:t>
      </w:r>
    </w:p>
    <w:p>
      <w:pPr>
        <w:pStyle w:val="51"/>
        <w:numPr>
          <w:ilvl w:val="0"/>
          <w:numId w:val="9"/>
        </w:numPr>
        <w:ind w:firstLineChars="0"/>
      </w:pPr>
      <w:r>
        <w:rPr>
          <w:rFonts w:hint="eastAsia"/>
        </w:rPr>
        <w:t>应配置极间电压和对地电压监测装置。</w:t>
      </w:r>
    </w:p>
    <w:p>
      <w:pPr>
        <w:pStyle w:val="51"/>
        <w:numPr>
          <w:ilvl w:val="0"/>
          <w:numId w:val="9"/>
        </w:numPr>
        <w:ind w:firstLineChars="0"/>
      </w:pPr>
      <w:r>
        <w:rPr>
          <w:rFonts w:hint="eastAsia"/>
        </w:rPr>
        <w:t>系统断电停止运行后，直流配电系统不同极之间、各极对地之间的残压应在3</w:t>
      </w:r>
      <w:r>
        <w:t>0s</w:t>
      </w:r>
      <w:r>
        <w:rPr>
          <w:rFonts w:hint="eastAsia"/>
        </w:rPr>
        <w:t>内下降到3</w:t>
      </w:r>
      <w:r>
        <w:t>0V</w:t>
      </w:r>
      <w:r>
        <w:rPr>
          <w:rFonts w:hint="eastAsia"/>
        </w:rPr>
        <w:t>以内；</w:t>
      </w:r>
    </w:p>
    <w:p>
      <w:pPr>
        <w:pStyle w:val="4"/>
      </w:pPr>
      <w:bookmarkStart w:id="147" w:name="_Toc113616430"/>
      <w:r>
        <w:rPr>
          <w:rFonts w:hint="eastAsia"/>
        </w:rPr>
        <w:t>电气设备用房、微电网监控机房等应安装烟雾监测和火灾报警系统，满足GB</w:t>
      </w:r>
      <w:r>
        <w:t>50053</w:t>
      </w:r>
      <w:r>
        <w:rPr>
          <w:rFonts w:hint="eastAsia"/>
        </w:rPr>
        <w:t>、G</w:t>
      </w:r>
      <w:r>
        <w:t>B14287</w:t>
      </w:r>
      <w:r>
        <w:rPr>
          <w:rFonts w:hint="eastAsia"/>
        </w:rPr>
        <w:t>标准要求。</w:t>
      </w:r>
      <w:bookmarkEnd w:id="147"/>
    </w:p>
    <w:p/>
    <w:p>
      <w:pPr>
        <w:pStyle w:val="3"/>
        <w:jc w:val="center"/>
      </w:pPr>
      <w:bookmarkStart w:id="148" w:name="_Toc113637055"/>
      <w:r>
        <w:rPr>
          <w:rFonts w:hint="eastAsia"/>
        </w:rPr>
        <w:t>用能系统设计</w:t>
      </w:r>
      <w:bookmarkEnd w:id="148"/>
    </w:p>
    <w:p>
      <w:pPr>
        <w:pStyle w:val="4"/>
        <w:rPr>
          <w:bCs w:val="0"/>
          <w:szCs w:val="22"/>
        </w:rPr>
      </w:pPr>
      <w:bookmarkStart w:id="149" w:name="_Toc113616433"/>
      <w:r>
        <w:rPr>
          <w:rFonts w:hint="eastAsia"/>
          <w:szCs w:val="22"/>
        </w:rPr>
        <w:t>建筑用能系统</w:t>
      </w:r>
      <w:r>
        <w:rPr>
          <w:rFonts w:hint="eastAsia"/>
          <w:bCs w:val="0"/>
          <w:szCs w:val="22"/>
        </w:rPr>
        <w:t>在满足用户使用需求及经济性的前提下，</w:t>
      </w:r>
      <w:r>
        <w:rPr>
          <w:rFonts w:hint="eastAsia"/>
          <w:szCs w:val="22"/>
        </w:rPr>
        <w:t>宜根据使用性质、用能时间、用能特点、</w:t>
      </w:r>
      <w:r>
        <w:rPr>
          <w:rFonts w:hint="eastAsia"/>
          <w:bCs w:val="0"/>
          <w:szCs w:val="22"/>
        </w:rPr>
        <w:t>用能级别等进行合理规划，满足设备优化调度要求。</w:t>
      </w:r>
      <w:bookmarkEnd w:id="149"/>
    </w:p>
    <w:p>
      <w:pPr>
        <w:pStyle w:val="4"/>
      </w:pPr>
      <w:bookmarkStart w:id="150" w:name="_Toc113616434"/>
      <w:r>
        <w:rPr>
          <w:rFonts w:hint="eastAsia"/>
        </w:rPr>
        <w:t>建筑空调系统宜与太阳能利用联合设计，宜考虑光伏空调、空气源热泵等技术，其设备能效应满足</w:t>
      </w:r>
      <w:r>
        <w:rPr>
          <w:rFonts w:hint="eastAsia"/>
          <w:bCs w:val="0"/>
          <w:szCs w:val="22"/>
        </w:rPr>
        <w:t>G</w:t>
      </w:r>
      <w:r>
        <w:rPr>
          <w:bCs w:val="0"/>
          <w:szCs w:val="22"/>
        </w:rPr>
        <w:t>B50189</w:t>
      </w:r>
      <w:r>
        <w:rPr>
          <w:rFonts w:hint="eastAsia"/>
          <w:bCs w:val="0"/>
          <w:szCs w:val="22"/>
        </w:rPr>
        <w:t>有关规定，</w:t>
      </w:r>
      <w:r>
        <w:rPr>
          <w:rFonts w:hint="eastAsia"/>
        </w:rPr>
        <w:t>输送设备宜考虑直流配电方式。</w:t>
      </w:r>
      <w:bookmarkEnd w:id="150"/>
    </w:p>
    <w:p>
      <w:pPr>
        <w:pStyle w:val="4"/>
      </w:pPr>
      <w:bookmarkStart w:id="151" w:name="_Toc113616435"/>
      <w:r>
        <w:rPr>
          <w:rFonts w:hint="eastAsia"/>
        </w:rPr>
        <w:t>当直流母线电压在9</w:t>
      </w:r>
      <w:r>
        <w:t>0%~105%</w:t>
      </w:r>
      <w:r>
        <w:rPr>
          <w:rFonts w:hint="eastAsia"/>
        </w:rPr>
        <w:t>额定电压范围内，且功率在2</w:t>
      </w:r>
      <w:r>
        <w:t>0%~100%</w:t>
      </w:r>
      <w:r>
        <w:rPr>
          <w:rFonts w:hint="eastAsia"/>
        </w:rPr>
        <w:t>额定功率范围内时，电源设备的电压波纹峰值系统应小于1</w:t>
      </w:r>
      <w:r>
        <w:t>%</w:t>
      </w:r>
      <w:r>
        <w:rPr>
          <w:rFonts w:hint="eastAsia"/>
        </w:rPr>
        <w:t>，其有效值应小于0</w:t>
      </w:r>
      <w:r>
        <w:t>.5%</w:t>
      </w:r>
      <w:r>
        <w:rPr>
          <w:rFonts w:hint="eastAsia"/>
        </w:rPr>
        <w:t>。</w:t>
      </w:r>
      <w:bookmarkEnd w:id="151"/>
    </w:p>
    <w:p>
      <w:pPr>
        <w:pStyle w:val="4"/>
      </w:pPr>
      <w:bookmarkStart w:id="152" w:name="_Toc113616436"/>
      <w:bookmarkEnd w:id="152"/>
      <w:bookmarkStart w:id="153" w:name="_Toc113616438"/>
      <w:bookmarkEnd w:id="153"/>
      <w:bookmarkStart w:id="154" w:name="_Toc113616437"/>
      <w:bookmarkEnd w:id="154"/>
      <w:bookmarkStart w:id="155" w:name="_Toc113616439"/>
      <w:r>
        <w:rPr>
          <w:rFonts w:hint="eastAsia"/>
        </w:rPr>
        <w:t>接入直流配电系统的充电桩，应具备功率主动响应功能和远程限制充电功率的功能，功率限制指令的响应时间不应大于3s；对满足条件的应用，可采用双向充放电装置，充电装置应具备功率调节功能。</w:t>
      </w:r>
      <w:bookmarkEnd w:id="155"/>
    </w:p>
    <w:p/>
    <w:p>
      <w:pPr>
        <w:pStyle w:val="3"/>
        <w:jc w:val="center"/>
      </w:pPr>
      <w:bookmarkStart w:id="156" w:name="_Toc113637056"/>
      <w:r>
        <w:rPr>
          <w:rFonts w:hint="eastAsia"/>
        </w:rPr>
        <w:t>监控管理系统设计</w:t>
      </w:r>
      <w:bookmarkEnd w:id="156"/>
    </w:p>
    <w:bookmarkEnd w:id="106"/>
    <w:p>
      <w:pPr>
        <w:pStyle w:val="4"/>
      </w:pPr>
      <w:bookmarkStart w:id="157" w:name="_Toc113616441"/>
      <w:bookmarkStart w:id="158" w:name="_Toc101903639"/>
      <w:r>
        <w:rPr>
          <w:rFonts w:hint="eastAsia"/>
        </w:rPr>
        <w:t>智慧建筑宜采用智慧能源监控管理系统，采集风电系统、光伏系统、储能系统和变配电房等数据信息，以数字通信方式接入智慧管理平台，并应具有以下功能：</w:t>
      </w:r>
      <w:bookmarkEnd w:id="157"/>
    </w:p>
    <w:p>
      <w:pPr>
        <w:pStyle w:val="51"/>
        <w:numPr>
          <w:ilvl w:val="0"/>
          <w:numId w:val="10"/>
        </w:numPr>
        <w:ind w:left="0" w:firstLine="420" w:firstLineChars="0"/>
      </w:pPr>
      <w:r>
        <w:rPr>
          <w:rFonts w:hint="eastAsia"/>
        </w:rPr>
        <w:t>采集电源设备、主要用电设备和配电设备的电压、电流、功率、电量和运行状态等信息，以能源调度和管理为目标时，采集信息间隔不宜小于</w:t>
      </w:r>
      <w:r>
        <w:t>1</w:t>
      </w:r>
      <w:r>
        <w:rPr>
          <w:rFonts w:hint="eastAsia"/>
        </w:rPr>
        <w:t>min。以系统控制为目标时采集信息建议不宜小于1</w:t>
      </w:r>
      <w:r>
        <w:t>0s;</w:t>
      </w:r>
    </w:p>
    <w:p>
      <w:pPr>
        <w:pStyle w:val="51"/>
        <w:numPr>
          <w:ilvl w:val="0"/>
          <w:numId w:val="10"/>
        </w:numPr>
        <w:ind w:left="0" w:firstLine="420" w:firstLineChars="0"/>
      </w:pPr>
      <w:r>
        <w:rPr>
          <w:rFonts w:hint="eastAsia"/>
        </w:rPr>
        <w:t>应具备对电源设备、主要用电设备和配电设备进行远程实时及预约启停和本地控制的功能；</w:t>
      </w:r>
    </w:p>
    <w:p>
      <w:pPr>
        <w:pStyle w:val="51"/>
        <w:numPr>
          <w:ilvl w:val="0"/>
          <w:numId w:val="10"/>
        </w:numPr>
        <w:ind w:left="0" w:firstLine="420" w:firstLineChars="0"/>
      </w:pPr>
      <w:r>
        <w:rPr>
          <w:rFonts w:hint="eastAsia"/>
        </w:rPr>
        <w:t>应能根据电价、电网指令或预设运行目标切换运行模式；</w:t>
      </w:r>
    </w:p>
    <w:p>
      <w:pPr>
        <w:pStyle w:val="51"/>
        <w:numPr>
          <w:ilvl w:val="0"/>
          <w:numId w:val="10"/>
        </w:numPr>
        <w:ind w:left="0" w:firstLine="420" w:firstLineChars="0"/>
      </w:pPr>
      <w:r>
        <w:rPr>
          <w:rFonts w:hint="eastAsia"/>
        </w:rPr>
        <w:t>应具备故障报警与保护功能；</w:t>
      </w:r>
    </w:p>
    <w:p>
      <w:pPr>
        <w:pStyle w:val="51"/>
        <w:numPr>
          <w:ilvl w:val="0"/>
          <w:numId w:val="10"/>
        </w:numPr>
        <w:ind w:left="0" w:firstLine="420" w:firstLineChars="0"/>
      </w:pPr>
      <w:r>
        <w:rPr>
          <w:rFonts w:hint="eastAsia"/>
        </w:rPr>
        <w:t>应具备能源供给、消费、动态管理与平衡机制，并提供优化功能。</w:t>
      </w:r>
    </w:p>
    <w:p>
      <w:pPr>
        <w:pStyle w:val="51"/>
        <w:numPr>
          <w:ilvl w:val="0"/>
          <w:numId w:val="10"/>
        </w:numPr>
        <w:ind w:left="0" w:firstLine="420" w:firstLineChars="0"/>
      </w:pPr>
      <w:r>
        <w:rPr>
          <w:rFonts w:hint="eastAsia"/>
        </w:rPr>
        <w:t>宜具备建筑整体用电柔度预测与设备柔性运行建议功能；</w:t>
      </w:r>
    </w:p>
    <w:p>
      <w:pPr>
        <w:pStyle w:val="51"/>
        <w:numPr>
          <w:ilvl w:val="0"/>
          <w:numId w:val="10"/>
        </w:numPr>
        <w:ind w:left="0" w:firstLine="420" w:firstLineChars="0"/>
      </w:pPr>
      <w:r>
        <w:rPr>
          <w:rFonts w:hint="eastAsia"/>
        </w:rPr>
        <w:t>应设立操作者权限控制等安全机制。</w:t>
      </w:r>
    </w:p>
    <w:p>
      <w:pPr>
        <w:pStyle w:val="4"/>
      </w:pPr>
      <w:bookmarkStart w:id="159" w:name="_Toc113616442"/>
      <w:r>
        <w:rPr>
          <w:rFonts w:hint="eastAsia"/>
        </w:rPr>
        <w:t>能源系统采集信息包括但不限于以下数据：</w:t>
      </w:r>
      <w:bookmarkEnd w:id="159"/>
    </w:p>
    <w:p>
      <w:pPr>
        <w:pStyle w:val="51"/>
        <w:numPr>
          <w:ilvl w:val="0"/>
          <w:numId w:val="11"/>
        </w:numPr>
        <w:spacing w:line="300" w:lineRule="auto"/>
        <w:ind w:firstLineChars="0"/>
      </w:pPr>
      <w:r>
        <w:rPr>
          <w:rFonts w:hint="eastAsia"/>
        </w:rPr>
        <w:t>电气模拟量参数：电压、电流、有功功率、无功功率、功率因数、频率。</w:t>
      </w:r>
    </w:p>
    <w:p>
      <w:pPr>
        <w:pStyle w:val="51"/>
        <w:numPr>
          <w:ilvl w:val="0"/>
          <w:numId w:val="11"/>
        </w:numPr>
        <w:spacing w:line="300" w:lineRule="auto"/>
        <w:ind w:firstLineChars="0"/>
      </w:pPr>
      <w:r>
        <w:rPr>
          <w:rFonts w:hint="eastAsia"/>
        </w:rPr>
        <w:t>电能质量数据：谐波、电压暂降、电压波动和闪变、电压偏差、三相不平衡、直流电流分量。</w:t>
      </w:r>
    </w:p>
    <w:p>
      <w:pPr>
        <w:pStyle w:val="51"/>
        <w:numPr>
          <w:ilvl w:val="0"/>
          <w:numId w:val="11"/>
        </w:numPr>
        <w:spacing w:line="300" w:lineRule="auto"/>
        <w:ind w:firstLineChars="0"/>
      </w:pPr>
      <w:r>
        <w:rPr>
          <w:rFonts w:hint="eastAsia"/>
        </w:rPr>
        <w:t>数字量：微电网并/离网状态、故障信息、通信状态。</w:t>
      </w:r>
    </w:p>
    <w:p>
      <w:pPr>
        <w:pStyle w:val="51"/>
        <w:numPr>
          <w:ilvl w:val="0"/>
          <w:numId w:val="11"/>
        </w:numPr>
        <w:spacing w:line="300" w:lineRule="auto"/>
        <w:ind w:firstLineChars="0"/>
      </w:pPr>
      <w:r>
        <w:rPr>
          <w:rFonts w:hint="eastAsia"/>
        </w:rPr>
        <w:t>模拟量：压力、压差、温度、温差、阀门开度。</w:t>
      </w:r>
    </w:p>
    <w:p>
      <w:pPr>
        <w:pStyle w:val="51"/>
        <w:numPr>
          <w:ilvl w:val="0"/>
          <w:numId w:val="11"/>
        </w:numPr>
        <w:spacing w:line="300" w:lineRule="auto"/>
        <w:ind w:firstLineChars="0"/>
      </w:pPr>
      <w:r>
        <w:rPr>
          <w:rFonts w:hint="eastAsia"/>
        </w:rPr>
        <w:t>冷热量：瞬时冷热量、累计冷热量。</w:t>
      </w:r>
    </w:p>
    <w:p>
      <w:pPr>
        <w:pStyle w:val="4"/>
      </w:pPr>
      <w:bookmarkStart w:id="160" w:name="_Toc113616443"/>
      <w:r>
        <w:rPr>
          <w:rFonts w:hint="eastAsia"/>
        </w:rPr>
        <w:t>能源系统监测仪表的选择应符合下列规定：</w:t>
      </w:r>
      <w:bookmarkEnd w:id="160"/>
    </w:p>
    <w:p>
      <w:pPr>
        <w:pStyle w:val="51"/>
        <w:numPr>
          <w:ilvl w:val="0"/>
          <w:numId w:val="12"/>
        </w:numPr>
        <w:ind w:firstLineChars="0"/>
      </w:pPr>
      <w:r>
        <w:rPr>
          <w:rFonts w:hint="eastAsia"/>
        </w:rPr>
        <w:t>仪表等级应根据仪表的用途、形式和重要性，合理选择等级。</w:t>
      </w:r>
    </w:p>
    <w:p>
      <w:pPr>
        <w:pStyle w:val="51"/>
        <w:numPr>
          <w:ilvl w:val="0"/>
          <w:numId w:val="12"/>
        </w:numPr>
        <w:ind w:firstLineChars="0"/>
      </w:pPr>
      <w:r>
        <w:rPr>
          <w:rFonts w:hint="eastAsia"/>
        </w:rPr>
        <w:t>仪表、阀门应满足所在环境的防腐、防潮和防爆的要求。</w:t>
      </w:r>
    </w:p>
    <w:p>
      <w:pPr>
        <w:pStyle w:val="51"/>
        <w:numPr>
          <w:ilvl w:val="0"/>
          <w:numId w:val="12"/>
        </w:numPr>
        <w:ind w:firstLineChars="0"/>
      </w:pPr>
      <w:r>
        <w:rPr>
          <w:rFonts w:hint="eastAsia"/>
        </w:rPr>
        <w:t>宜采用智能型测量、计量仪表或装置。</w:t>
      </w:r>
    </w:p>
    <w:p>
      <w:pPr>
        <w:pStyle w:val="51"/>
        <w:numPr>
          <w:ilvl w:val="0"/>
          <w:numId w:val="12"/>
        </w:numPr>
        <w:ind w:firstLineChars="0"/>
      </w:pPr>
      <w:r>
        <w:rPr>
          <w:rFonts w:hint="eastAsia"/>
        </w:rPr>
        <w:t>仪表和控制设备应满足远程监控要求。</w:t>
      </w:r>
    </w:p>
    <w:p>
      <w:pPr>
        <w:pStyle w:val="4"/>
      </w:pPr>
      <w:bookmarkStart w:id="161" w:name="_Toc113616444"/>
      <w:r>
        <w:rPr>
          <w:rFonts w:hint="eastAsia"/>
        </w:rPr>
        <w:t>直流配电系统宜在一级和二级母线电源侧设置电能计量装置，且电能计量装置不低于1级。</w:t>
      </w:r>
      <w:bookmarkEnd w:id="161"/>
    </w:p>
    <w:p>
      <w:pPr>
        <w:pStyle w:val="4"/>
      </w:pPr>
      <w:bookmarkStart w:id="162" w:name="_Toc113616445"/>
      <w:r>
        <w:rPr>
          <w:rFonts w:hint="eastAsia"/>
        </w:rPr>
        <w:t>低压直流能量路由器应具备模块、母线(或分段母线</w:t>
      </w:r>
      <w:r>
        <w:t>)</w:t>
      </w:r>
      <w:r>
        <w:rPr>
          <w:rFonts w:hint="eastAsia"/>
        </w:rPr>
        <w:t>、负载等数据采集功能。</w:t>
      </w:r>
      <w:bookmarkEnd w:id="162"/>
    </w:p>
    <w:p>
      <w:pPr>
        <w:pStyle w:val="4"/>
      </w:pPr>
      <w:bookmarkStart w:id="163" w:name="_Toc113616446"/>
      <w:r>
        <w:rPr>
          <w:rFonts w:hint="eastAsia"/>
        </w:rPr>
        <w:t>低压直流能量路由器应具备市电、可再生能源发电、负载用电等的交、直流电能计量功能，且满足GB</w:t>
      </w:r>
      <w:r>
        <w:t>/T 16934</w:t>
      </w:r>
      <w:r>
        <w:rPr>
          <w:rFonts w:hint="eastAsia"/>
        </w:rPr>
        <w:t>规定。</w:t>
      </w:r>
      <w:bookmarkEnd w:id="163"/>
    </w:p>
    <w:p>
      <w:pPr>
        <w:pStyle w:val="4"/>
      </w:pPr>
      <w:bookmarkStart w:id="164" w:name="_Toc113616447"/>
      <w:r>
        <w:rPr>
          <w:rFonts w:hint="eastAsia"/>
        </w:rPr>
        <w:t>在满足系统实时性和可靠性的情况下，优先采用5</w:t>
      </w:r>
      <w:r>
        <w:t>G</w:t>
      </w:r>
      <w:r>
        <w:rPr>
          <w:rFonts w:hint="eastAsia"/>
        </w:rPr>
        <w:t>、物联网等通信技术。采用数据通信方式时，监测仪表、控制装置、监控系统等应根据接入系统的类型选用标准、开放通讯协议和接口。</w:t>
      </w:r>
      <w:bookmarkEnd w:id="164"/>
    </w:p>
    <w:p>
      <w:pPr>
        <w:pStyle w:val="4"/>
      </w:pPr>
      <w:bookmarkStart w:id="165" w:name="_Toc113616448"/>
      <w:r>
        <w:t>集中控制网络由交换机</w:t>
      </w:r>
      <w:r>
        <w:rPr>
          <w:rFonts w:hint="eastAsia"/>
        </w:rPr>
        <w:t>、</w:t>
      </w:r>
      <w:r>
        <w:t>数据库服务器</w:t>
      </w:r>
      <w:r>
        <w:rPr>
          <w:rFonts w:hint="eastAsia"/>
        </w:rPr>
        <w:t>、</w:t>
      </w:r>
      <w:r>
        <w:t>监控软件</w:t>
      </w:r>
      <w:r>
        <w:rPr>
          <w:rFonts w:hint="eastAsia"/>
        </w:rPr>
        <w:t>、</w:t>
      </w:r>
      <w:r>
        <w:t>操作员站</w:t>
      </w:r>
      <w:r>
        <w:rPr>
          <w:rFonts w:hint="eastAsia"/>
        </w:rPr>
        <w:t>、</w:t>
      </w:r>
      <w:r>
        <w:t>工程师站</w:t>
      </w:r>
      <w:r>
        <w:rPr>
          <w:rFonts w:hint="eastAsia"/>
        </w:rPr>
        <w:t>、光</w:t>
      </w:r>
      <w:r>
        <w:t>纤</w:t>
      </w:r>
      <w:r>
        <w:rPr>
          <w:rFonts w:hint="eastAsia"/>
        </w:rPr>
        <w:t>控制</w:t>
      </w:r>
      <w:r>
        <w:t>电缆等组成</w:t>
      </w:r>
      <w:r>
        <w:rPr>
          <w:rFonts w:hint="eastAsia" w:cs="Microsoft Yi Baiti"/>
        </w:rPr>
        <w:t>，</w:t>
      </w:r>
      <w:r>
        <w:t>其网络结构</w:t>
      </w:r>
      <w:r>
        <w:rPr>
          <w:rFonts w:hint="eastAsia"/>
        </w:rPr>
        <w:t>、</w:t>
      </w:r>
      <w:r>
        <w:t>通信速率</w:t>
      </w:r>
      <w:r>
        <w:rPr>
          <w:rFonts w:hint="eastAsia"/>
        </w:rPr>
        <w:t>、</w:t>
      </w:r>
      <w:r>
        <w:t>应用功能等的选择应满足能源</w:t>
      </w:r>
      <w:r>
        <w:rPr>
          <w:rFonts w:hint="eastAsia"/>
        </w:rPr>
        <w:t>系</w:t>
      </w:r>
      <w:r>
        <w:t>统实时</w:t>
      </w:r>
      <w:r>
        <w:rPr>
          <w:rFonts w:hint="eastAsia"/>
        </w:rPr>
        <w:t>监控的</w:t>
      </w:r>
      <w:r>
        <w:t>要求</w:t>
      </w:r>
      <w:r>
        <w:rPr>
          <w:rFonts w:hint="eastAsia"/>
        </w:rPr>
        <w:t>。</w:t>
      </w:r>
      <w:bookmarkEnd w:id="165"/>
    </w:p>
    <w:p/>
    <w:p>
      <w:pPr>
        <w:pStyle w:val="2"/>
      </w:pPr>
      <w:bookmarkStart w:id="166" w:name="_Toc109750516"/>
      <w:bookmarkStart w:id="167" w:name="_Toc113637057"/>
      <w:r>
        <w:rPr>
          <w:rFonts w:hint="eastAsia"/>
        </w:rPr>
        <w:t>设备选型与</w:t>
      </w:r>
      <w:bookmarkEnd w:id="158"/>
      <w:bookmarkEnd w:id="166"/>
      <w:r>
        <w:rPr>
          <w:rFonts w:hint="eastAsia"/>
        </w:rPr>
        <w:t>布置</w:t>
      </w:r>
      <w:bookmarkEnd w:id="167"/>
    </w:p>
    <w:p>
      <w:pPr>
        <w:pStyle w:val="3"/>
        <w:jc w:val="center"/>
      </w:pPr>
      <w:bookmarkStart w:id="168" w:name="_Toc113637058"/>
      <w:bookmarkStart w:id="169" w:name="_Toc101903640"/>
      <w:bookmarkStart w:id="170" w:name="_Toc109750517"/>
      <w:r>
        <w:rPr>
          <w:rFonts w:hint="eastAsia"/>
        </w:rPr>
        <w:t>一般规定</w:t>
      </w:r>
      <w:bookmarkEnd w:id="168"/>
      <w:bookmarkEnd w:id="169"/>
      <w:bookmarkEnd w:id="170"/>
    </w:p>
    <w:p>
      <w:pPr>
        <w:pStyle w:val="4"/>
      </w:pPr>
      <w:bookmarkStart w:id="171" w:name="_Toc109750518"/>
      <w:bookmarkEnd w:id="171"/>
      <w:bookmarkStart w:id="172" w:name="_Toc113616451"/>
      <w:r>
        <w:rPr>
          <w:rFonts w:hint="eastAsia"/>
        </w:rPr>
        <w:t>智慧建筑直流能源系统设备选型及布置需符合</w:t>
      </w:r>
      <w:r>
        <w:t>GB/T 19826</w:t>
      </w:r>
      <w:r>
        <w:rPr>
          <w:rFonts w:hint="eastAsia"/>
        </w:rPr>
        <w:t>、</w:t>
      </w:r>
      <w:r>
        <w:t>DL/T</w:t>
      </w:r>
      <w:r>
        <w:rPr>
          <w:rFonts w:hint="eastAsia"/>
        </w:rPr>
        <w:t xml:space="preserve"> </w:t>
      </w:r>
      <w:r>
        <w:t>5044</w:t>
      </w:r>
      <w:r>
        <w:rPr>
          <w:rFonts w:hint="eastAsia"/>
        </w:rPr>
        <w:t>相关要求。</w:t>
      </w:r>
      <w:bookmarkEnd w:id="172"/>
    </w:p>
    <w:p>
      <w:pPr>
        <w:pStyle w:val="4"/>
      </w:pPr>
      <w:bookmarkStart w:id="173" w:name="_Toc113616452"/>
      <w:r>
        <w:rPr>
          <w:rFonts w:hint="eastAsia"/>
        </w:rPr>
        <w:t>光伏系统设备选型及布置需满足</w:t>
      </w:r>
      <w:r>
        <w:t>GB/T51368</w:t>
      </w:r>
      <w:r>
        <w:rPr>
          <w:rFonts w:hint="eastAsia"/>
        </w:rPr>
        <w:t>相关要求。</w:t>
      </w:r>
      <w:bookmarkEnd w:id="173"/>
    </w:p>
    <w:p>
      <w:pPr>
        <w:pStyle w:val="4"/>
      </w:pPr>
      <w:bookmarkStart w:id="174" w:name="_Toc113616453"/>
      <w:r>
        <w:rPr>
          <w:rFonts w:hint="eastAsia"/>
        </w:rPr>
        <w:t>风力发电系统设备选型及布置需满足G</w:t>
      </w:r>
      <w:r>
        <w:t>B50148</w:t>
      </w:r>
      <w:r>
        <w:rPr>
          <w:rFonts w:hint="eastAsia"/>
        </w:rPr>
        <w:t>相关要求。</w:t>
      </w:r>
      <w:bookmarkEnd w:id="174"/>
    </w:p>
    <w:p>
      <w:pPr>
        <w:pStyle w:val="4"/>
      </w:pPr>
      <w:bookmarkStart w:id="175" w:name="_Toc113616454"/>
      <w:r>
        <w:rPr>
          <w:rFonts w:hint="eastAsia"/>
        </w:rPr>
        <w:t>配电房及电力系统设备布置与选型满足</w:t>
      </w:r>
      <w:r>
        <w:t>GB 51348</w:t>
      </w:r>
      <w:r>
        <w:rPr>
          <w:rFonts w:hint="eastAsia"/>
        </w:rPr>
        <w:t>相关要求。</w:t>
      </w:r>
      <w:bookmarkEnd w:id="175"/>
    </w:p>
    <w:p/>
    <w:p>
      <w:pPr>
        <w:pStyle w:val="3"/>
        <w:jc w:val="center"/>
      </w:pPr>
      <w:bookmarkStart w:id="176" w:name="_Toc109750519"/>
      <w:bookmarkEnd w:id="176"/>
      <w:bookmarkStart w:id="177" w:name="_Toc109750520"/>
      <w:bookmarkStart w:id="178" w:name="_Toc113637059"/>
      <w:bookmarkStart w:id="179" w:name="_Toc101903641"/>
      <w:r>
        <w:rPr>
          <w:rFonts w:hint="eastAsia"/>
        </w:rPr>
        <w:t>供能设备</w:t>
      </w:r>
      <w:bookmarkEnd w:id="177"/>
      <w:bookmarkEnd w:id="178"/>
    </w:p>
    <w:p>
      <w:pPr>
        <w:pStyle w:val="4"/>
      </w:pPr>
      <w:bookmarkStart w:id="180" w:name="_Toc113616456"/>
      <w:bookmarkStart w:id="181" w:name="_Toc109750521"/>
      <w:bookmarkStart w:id="182" w:name="_Toc101903642"/>
      <w:r>
        <w:rPr>
          <w:rFonts w:hint="eastAsia"/>
        </w:rPr>
        <w:t>直流配电柜及柜内元件应符合GB/T 19826的有关规定。</w:t>
      </w:r>
      <w:bookmarkEnd w:id="180"/>
    </w:p>
    <w:p>
      <w:pPr>
        <w:pStyle w:val="4"/>
      </w:pPr>
      <w:bookmarkStart w:id="183" w:name="_Toc113616457"/>
      <w:r>
        <w:rPr>
          <w:rFonts w:hint="eastAsia"/>
        </w:rPr>
        <w:t>直流配电柜宜采用加强型结构，防护等级不低于IP20。布置在交流配电间内的直流柜防护等级应与交流开关柜一致。</w:t>
      </w:r>
      <w:bookmarkEnd w:id="183"/>
    </w:p>
    <w:p>
      <w:pPr>
        <w:pStyle w:val="4"/>
      </w:pPr>
      <w:bookmarkStart w:id="184" w:name="_Toc113616458"/>
      <w:r>
        <w:rPr>
          <w:rFonts w:hint="eastAsia"/>
        </w:rPr>
        <w:t>直流配电柜正面操作设备的布置高度不应超过</w:t>
      </w:r>
      <w:r>
        <w:t>1.8</w:t>
      </w:r>
      <w:r>
        <w:rPr>
          <w:rFonts w:hint="eastAsia"/>
        </w:rPr>
        <w:t>m，距地高度不低于</w:t>
      </w:r>
      <w:r>
        <w:t>0.4</w:t>
      </w:r>
      <w:r>
        <w:rPr>
          <w:rFonts w:hint="eastAsia"/>
        </w:rPr>
        <w:t>m。交直流柜混合配置时，直流柜应有明显标识。</w:t>
      </w:r>
      <w:bookmarkEnd w:id="184"/>
    </w:p>
    <w:p>
      <w:pPr>
        <w:pStyle w:val="4"/>
      </w:pPr>
      <w:bookmarkStart w:id="185" w:name="_Toc113616459"/>
      <w:r>
        <w:rPr>
          <w:rFonts w:hint="eastAsia"/>
        </w:rPr>
        <w:t>直流配电柜宜布置在直流负荷中心附近。</w:t>
      </w:r>
      <w:bookmarkEnd w:id="185"/>
    </w:p>
    <w:p>
      <w:pPr>
        <w:pStyle w:val="4"/>
      </w:pPr>
      <w:bookmarkStart w:id="186" w:name="_Toc113616460"/>
      <w:bookmarkEnd w:id="186"/>
      <w:bookmarkStart w:id="187" w:name="_Toc113616461"/>
      <w:r>
        <w:rPr>
          <w:rFonts w:hint="eastAsia"/>
        </w:rPr>
        <w:t>蓄电池室内应设有运行和检修通道。通道一侧装设蓄电池时，通道宽度不应小于</w:t>
      </w:r>
      <w:r>
        <w:t>0.8</w:t>
      </w:r>
      <w:r>
        <w:rPr>
          <w:rFonts w:hint="eastAsia"/>
        </w:rPr>
        <w:t>m；两侧均装设蓄电池时，通道宽度不应小于1m。</w:t>
      </w:r>
      <w:bookmarkEnd w:id="187"/>
    </w:p>
    <w:p>
      <w:pPr>
        <w:pStyle w:val="4"/>
      </w:pPr>
      <w:bookmarkStart w:id="188" w:name="_Toc113616462"/>
      <w:r>
        <w:rPr>
          <w:rFonts w:hint="eastAsia"/>
        </w:rPr>
        <w:t>包含蓄电池的直流电源柜可布置在继电器室或配电间内，室内应保持良好通风。</w:t>
      </w:r>
      <w:bookmarkEnd w:id="188"/>
    </w:p>
    <w:p>
      <w:pPr>
        <w:numPr>
          <w:ilvl w:val="2"/>
          <w:numId w:val="1"/>
        </w:numPr>
        <w:rPr>
          <w:bCs/>
        </w:rPr>
      </w:pPr>
      <w:r>
        <w:rPr>
          <w:rFonts w:hint="eastAsia"/>
          <w:bCs/>
        </w:rPr>
        <w:t>变换器的选型应以直流母线侧的额定功率、额定电压和额定电流作为依据，且技术特性应满足下列要求：</w:t>
      </w:r>
    </w:p>
    <w:p>
      <w:pPr>
        <w:numPr>
          <w:ilvl w:val="0"/>
          <w:numId w:val="13"/>
        </w:numPr>
      </w:pPr>
      <w:r>
        <w:rPr>
          <w:rFonts w:hint="eastAsia"/>
        </w:rPr>
        <w:t>应为长期连续工作制，并具有稳压性能，稳压精度应为额定电压值的0.6%；</w:t>
      </w:r>
    </w:p>
    <w:p>
      <w:pPr>
        <w:numPr>
          <w:ilvl w:val="0"/>
          <w:numId w:val="13"/>
        </w:numPr>
      </w:pPr>
      <w:r>
        <w:rPr>
          <w:rFonts w:hint="eastAsia"/>
        </w:rPr>
        <w:t>直流母线电压纹波系数不应超过0.5%；</w:t>
      </w:r>
    </w:p>
    <w:p>
      <w:pPr>
        <w:numPr>
          <w:ilvl w:val="0"/>
          <w:numId w:val="13"/>
        </w:numPr>
      </w:pPr>
      <w:r>
        <w:rPr>
          <w:rFonts w:hint="eastAsia"/>
        </w:rPr>
        <w:t>具有输入异常和输出限流保护功能，故障排除后可自动恢复工作；</w:t>
      </w:r>
    </w:p>
    <w:p>
      <w:pPr>
        <w:numPr>
          <w:ilvl w:val="0"/>
          <w:numId w:val="13"/>
        </w:numPr>
      </w:pPr>
      <w:r>
        <w:rPr>
          <w:rFonts w:hint="eastAsia"/>
        </w:rPr>
        <w:t>具有输出过电压保护功能，故障排除后可人工恢复工作；</w:t>
      </w:r>
    </w:p>
    <w:p>
      <w:pPr>
        <w:numPr>
          <w:ilvl w:val="0"/>
          <w:numId w:val="13"/>
        </w:numPr>
      </w:pPr>
      <w:r>
        <w:rPr>
          <w:rFonts w:hint="eastAsia"/>
        </w:rPr>
        <w:t>当用于通信电源时，杂音电压和其他技术参数还应符合行业标准《通信用直流-直流变换设备》YD/T 637的有关规定。</w:t>
      </w:r>
    </w:p>
    <w:p>
      <w:pPr>
        <w:numPr>
          <w:ilvl w:val="2"/>
          <w:numId w:val="1"/>
        </w:numPr>
        <w:rPr>
          <w:bCs/>
        </w:rPr>
      </w:pPr>
      <w:r>
        <w:rPr>
          <w:rFonts w:hint="eastAsia"/>
          <w:bCs/>
        </w:rPr>
        <w:t>变换器效率宜符合下列规定：</w:t>
      </w:r>
    </w:p>
    <w:p>
      <w:pPr>
        <w:numPr>
          <w:ilvl w:val="0"/>
          <w:numId w:val="14"/>
        </w:numPr>
      </w:pPr>
      <w:r>
        <w:rPr>
          <w:rFonts w:hint="eastAsia"/>
        </w:rPr>
        <w:t>非隔离型最高效率不宜低于9</w:t>
      </w:r>
      <w:r>
        <w:t>7%</w:t>
      </w:r>
      <w:r>
        <w:rPr>
          <w:rFonts w:hint="eastAsia"/>
        </w:rPr>
        <w:t>；</w:t>
      </w:r>
    </w:p>
    <w:p>
      <w:pPr>
        <w:numPr>
          <w:ilvl w:val="0"/>
          <w:numId w:val="14"/>
        </w:numPr>
      </w:pPr>
      <w:r>
        <w:rPr>
          <w:rFonts w:hint="eastAsia"/>
        </w:rPr>
        <w:t>单向隔离最高效率不宜低于9</w:t>
      </w:r>
      <w:r>
        <w:t>6</w:t>
      </w:r>
      <w:r>
        <w:rPr>
          <w:rFonts w:hint="eastAsia"/>
        </w:rPr>
        <w:t>%；</w:t>
      </w:r>
    </w:p>
    <w:p>
      <w:pPr>
        <w:numPr>
          <w:ilvl w:val="0"/>
          <w:numId w:val="14"/>
        </w:numPr>
      </w:pPr>
      <w:r>
        <w:rPr>
          <w:rFonts w:hint="eastAsia"/>
        </w:rPr>
        <w:t>单向隔离型变换器的最高效率不宜低于9</w:t>
      </w:r>
      <w:r>
        <w:t>4%</w:t>
      </w:r>
      <w:r>
        <w:rPr>
          <w:rFonts w:hint="eastAsia"/>
        </w:rPr>
        <w:t>；</w:t>
      </w:r>
    </w:p>
    <w:p>
      <w:pPr>
        <w:numPr>
          <w:ilvl w:val="0"/>
          <w:numId w:val="14"/>
        </w:numPr>
      </w:pPr>
      <w:r>
        <w:rPr>
          <w:rFonts w:hint="eastAsia"/>
        </w:rPr>
        <w:t>在额定电压和2</w:t>
      </w:r>
      <w:r>
        <w:t>0</w:t>
      </w:r>
      <w:r>
        <w:rPr>
          <w:rFonts w:hint="eastAsia"/>
        </w:rPr>
        <w:t>%额定功率条件下的效率，与最高效率偏差不超过±3</w:t>
      </w:r>
      <w:r>
        <w:t>%</w:t>
      </w:r>
      <w:r>
        <w:rPr>
          <w:rFonts w:hint="eastAsia"/>
        </w:rPr>
        <w:t>。</w:t>
      </w:r>
    </w:p>
    <w:p/>
    <w:bookmarkEnd w:id="181"/>
    <w:bookmarkEnd w:id="182"/>
    <w:p>
      <w:pPr>
        <w:pStyle w:val="3"/>
        <w:jc w:val="center"/>
      </w:pPr>
      <w:bookmarkStart w:id="189" w:name="_Toc113637060"/>
      <w:bookmarkStart w:id="190" w:name="_Toc109750527"/>
      <w:r>
        <w:rPr>
          <w:rFonts w:hint="eastAsia"/>
        </w:rPr>
        <w:t>系统保护</w:t>
      </w:r>
      <w:bookmarkEnd w:id="189"/>
    </w:p>
    <w:p>
      <w:pPr>
        <w:pStyle w:val="4"/>
      </w:pPr>
      <w:bookmarkStart w:id="191" w:name="_Toc113616464"/>
      <w:r>
        <w:rPr>
          <w:rFonts w:hint="eastAsia"/>
        </w:rPr>
        <w:t>直流断路器应具有瞬时电流速断和反时限过电流保护，当不满足选择性保护配合时，可增加短延时电流速断保护。直流断路器的选择应符合下列规定：</w:t>
      </w:r>
      <w:bookmarkEnd w:id="191"/>
    </w:p>
    <w:p>
      <w:pPr>
        <w:pStyle w:val="51"/>
        <w:numPr>
          <w:ilvl w:val="0"/>
          <w:numId w:val="15"/>
        </w:numPr>
        <w:ind w:firstLineChars="0"/>
      </w:pPr>
      <w:r>
        <w:rPr>
          <w:rFonts w:hint="eastAsia"/>
        </w:rPr>
        <w:t>额定电压应大于或等于回路的最高工作电压；</w:t>
      </w:r>
    </w:p>
    <w:p>
      <w:pPr>
        <w:pStyle w:val="51"/>
        <w:numPr>
          <w:ilvl w:val="0"/>
          <w:numId w:val="15"/>
        </w:numPr>
        <w:ind w:firstLineChars="0"/>
      </w:pPr>
      <w:r>
        <w:rPr>
          <w:rFonts w:hint="eastAsia"/>
        </w:rPr>
        <w:t>额定电流应大于回路的最大工作电流；</w:t>
      </w:r>
    </w:p>
    <w:p>
      <w:pPr>
        <w:pStyle w:val="51"/>
        <w:numPr>
          <w:ilvl w:val="0"/>
          <w:numId w:val="15"/>
        </w:numPr>
        <w:ind w:firstLineChars="0"/>
      </w:pPr>
      <w:r>
        <w:rPr>
          <w:rFonts w:hint="eastAsia"/>
        </w:rPr>
        <w:t>断流能力应满足安装地点直流电源系统最大预期短路电流的要求；</w:t>
      </w:r>
    </w:p>
    <w:p>
      <w:pPr>
        <w:pStyle w:val="51"/>
        <w:numPr>
          <w:ilvl w:val="0"/>
          <w:numId w:val="15"/>
        </w:numPr>
        <w:ind w:firstLineChars="0"/>
      </w:pPr>
      <w:r>
        <w:rPr>
          <w:rFonts w:hint="eastAsia"/>
        </w:rPr>
        <w:t>直流电源系统应急联络断路器额定电流不应大于蓄电池出口熔断器额定电流的50%；</w:t>
      </w:r>
    </w:p>
    <w:p>
      <w:pPr>
        <w:pStyle w:val="51"/>
        <w:numPr>
          <w:ilvl w:val="0"/>
          <w:numId w:val="15"/>
        </w:numPr>
        <w:ind w:firstLineChars="0"/>
      </w:pPr>
      <w:r>
        <w:rPr>
          <w:rFonts w:hint="eastAsia"/>
        </w:rPr>
        <w:t>当采用短路短延时保护时，直流断路器额定短时耐受电流应大于装设地点最大短路电流；</w:t>
      </w:r>
    </w:p>
    <w:p>
      <w:pPr>
        <w:pStyle w:val="51"/>
        <w:numPr>
          <w:ilvl w:val="0"/>
          <w:numId w:val="15"/>
        </w:numPr>
        <w:ind w:firstLineChars="0"/>
      </w:pPr>
      <w:r>
        <w:rPr>
          <w:rFonts w:hint="eastAsia"/>
        </w:rPr>
        <w:t>各级断路器的保护动作电流和动作时间应满足上下级选择性配合要求，且应有足够的灵敏系数。</w:t>
      </w:r>
    </w:p>
    <w:p>
      <w:pPr>
        <w:pStyle w:val="4"/>
      </w:pPr>
      <w:bookmarkStart w:id="192" w:name="_Toc113616465"/>
      <w:r>
        <w:rPr>
          <w:rFonts w:hint="eastAsia"/>
        </w:rPr>
        <w:t>直流回路采用熔断器作为保护电器时，应装设隔离电器。熔断器的选择应符合下列规定：</w:t>
      </w:r>
      <w:bookmarkEnd w:id="192"/>
    </w:p>
    <w:p>
      <w:pPr>
        <w:pStyle w:val="51"/>
        <w:numPr>
          <w:ilvl w:val="0"/>
          <w:numId w:val="16"/>
        </w:numPr>
        <w:ind w:firstLineChars="0"/>
      </w:pPr>
      <w:r>
        <w:rPr>
          <w:rFonts w:hint="eastAsia"/>
        </w:rPr>
        <w:t>额定电压应大于或等于回路的最高工作电压；</w:t>
      </w:r>
    </w:p>
    <w:p>
      <w:pPr>
        <w:pStyle w:val="51"/>
        <w:numPr>
          <w:ilvl w:val="0"/>
          <w:numId w:val="16"/>
        </w:numPr>
        <w:ind w:firstLineChars="0"/>
      </w:pPr>
      <w:r>
        <w:rPr>
          <w:rFonts w:hint="eastAsia"/>
        </w:rPr>
        <w:t>额定电流应大于回路的最大工作电流；</w:t>
      </w:r>
    </w:p>
    <w:p>
      <w:pPr>
        <w:pStyle w:val="51"/>
        <w:numPr>
          <w:ilvl w:val="0"/>
          <w:numId w:val="16"/>
        </w:numPr>
        <w:ind w:firstLineChars="0"/>
      </w:pPr>
      <w:r>
        <w:rPr>
          <w:rFonts w:hint="eastAsia"/>
        </w:rPr>
        <w:t>断流能力应满足安装回路最大预期短路电流的要求；</w:t>
      </w:r>
    </w:p>
    <w:p>
      <w:pPr>
        <w:pStyle w:val="4"/>
      </w:pPr>
      <w:r>
        <w:rPr>
          <w:rFonts w:hint="eastAsia"/>
        </w:rPr>
        <w:t>直流配电的绝缘监测装置应具备本地参数设置和状态显示功能，并采用无源节点或通信等方式提供远程保护。</w:t>
      </w:r>
    </w:p>
    <w:p>
      <w:pPr>
        <w:pStyle w:val="4"/>
      </w:pPr>
      <w:r>
        <w:rPr>
          <w:rFonts w:hint="eastAsia"/>
        </w:rPr>
        <w:t>直流配电系统应设置剩余电流保护装置，且在第一次故障不断开电路时，其额定剩余不动作电流值不应小于第一次对地故障时流经故障回路的电流。</w:t>
      </w:r>
    </w:p>
    <w:p>
      <w:pPr>
        <w:widowControl/>
        <w:spacing w:line="240" w:lineRule="auto"/>
        <w:jc w:val="left"/>
        <w:rPr>
          <w:bCs/>
          <w:szCs w:val="32"/>
        </w:rPr>
      </w:pPr>
    </w:p>
    <w:p>
      <w:pPr>
        <w:pStyle w:val="3"/>
        <w:jc w:val="center"/>
      </w:pPr>
      <w:bookmarkStart w:id="193" w:name="_Toc113637061"/>
      <w:r>
        <w:rPr>
          <w:rFonts w:hint="eastAsia"/>
        </w:rPr>
        <w:t>直流用电设备</w:t>
      </w:r>
      <w:bookmarkEnd w:id="193"/>
    </w:p>
    <w:p>
      <w:pPr>
        <w:pStyle w:val="4"/>
      </w:pPr>
      <w:r>
        <w:rPr>
          <w:rFonts w:hint="eastAsia"/>
        </w:rPr>
        <w:t xml:space="preserve"> </w:t>
      </w:r>
      <w:bookmarkStart w:id="194" w:name="_Toc113616467"/>
      <w:r>
        <w:rPr>
          <w:rFonts w:hint="eastAsia"/>
        </w:rPr>
        <w:t>采用的直流用电设备产品性能及能效需满足</w:t>
      </w:r>
      <w:r>
        <w:t>GB50189</w:t>
      </w:r>
      <w:r>
        <w:rPr>
          <w:rFonts w:hint="eastAsia"/>
        </w:rPr>
        <w:t>、G</w:t>
      </w:r>
      <w:r>
        <w:t>B55015</w:t>
      </w:r>
      <w:r>
        <w:rPr>
          <w:rFonts w:hint="eastAsia"/>
        </w:rPr>
        <w:t>等相关要求。</w:t>
      </w:r>
      <w:bookmarkEnd w:id="194"/>
    </w:p>
    <w:p>
      <w:pPr>
        <w:pStyle w:val="4"/>
      </w:pPr>
      <w:bookmarkStart w:id="195" w:name="_Toc113616468"/>
      <w:r>
        <w:rPr>
          <w:rFonts w:hint="eastAsia"/>
        </w:rPr>
        <w:t>直流配电系统的设备的工作电压应满足下列规定：</w:t>
      </w:r>
      <w:bookmarkEnd w:id="195"/>
    </w:p>
    <w:p>
      <w:pPr>
        <w:pStyle w:val="51"/>
        <w:numPr>
          <w:ilvl w:val="0"/>
          <w:numId w:val="17"/>
        </w:numPr>
        <w:ind w:firstLineChars="0"/>
      </w:pPr>
      <w:r>
        <w:rPr>
          <w:rFonts w:hint="eastAsia"/>
        </w:rPr>
        <w:t>当直流母线电压处于9</w:t>
      </w:r>
      <w:r>
        <w:t>0%~105%</w:t>
      </w:r>
      <w:r>
        <w:rPr>
          <w:rFonts w:hint="eastAsia"/>
        </w:rPr>
        <w:t>额定电压范围时，设备应能按其技术指标和功能正常工作；</w:t>
      </w:r>
    </w:p>
    <w:p>
      <w:pPr>
        <w:pStyle w:val="51"/>
        <w:numPr>
          <w:ilvl w:val="0"/>
          <w:numId w:val="17"/>
        </w:numPr>
        <w:ind w:firstLineChars="0"/>
      </w:pPr>
      <w:r>
        <w:rPr>
          <w:rFonts w:hint="eastAsia"/>
        </w:rPr>
        <w:t>当直流母线电压超出9</w:t>
      </w:r>
      <w:r>
        <w:t>0%~105%</w:t>
      </w:r>
      <w:r>
        <w:rPr>
          <w:rFonts w:hint="eastAsia"/>
        </w:rPr>
        <w:t>额定电压范围，且仍处于8</w:t>
      </w:r>
      <w:r>
        <w:t>0%~105%</w:t>
      </w:r>
      <w:r>
        <w:rPr>
          <w:rFonts w:hint="eastAsia"/>
        </w:rPr>
        <w:t>额定电压范围时，设备仍可正常运行；</w:t>
      </w:r>
    </w:p>
    <w:p>
      <w:pPr>
        <w:pStyle w:val="51"/>
        <w:numPr>
          <w:ilvl w:val="0"/>
          <w:numId w:val="17"/>
        </w:numPr>
        <w:ind w:firstLineChars="0"/>
      </w:pPr>
      <w:r>
        <w:rPr>
          <w:rFonts w:hint="eastAsia"/>
        </w:rPr>
        <w:t>当直流母线电压超出8</w:t>
      </w:r>
      <w:r>
        <w:t>0%~105%</w:t>
      </w:r>
      <w:r>
        <w:rPr>
          <w:rFonts w:hint="eastAsia"/>
        </w:rPr>
        <w:t>额定电压范围，且持续时间不超过1</w:t>
      </w:r>
      <w:r>
        <w:t>0</w:t>
      </w:r>
      <w:r>
        <w:rPr>
          <w:rFonts w:hint="eastAsia"/>
        </w:rPr>
        <w:t>m</w:t>
      </w:r>
      <w:r>
        <w:t>s</w:t>
      </w:r>
      <w:r>
        <w:rPr>
          <w:rFonts w:hint="eastAsia"/>
        </w:rPr>
        <w:t>时，设备仍可正常运行。</w:t>
      </w:r>
    </w:p>
    <w:p>
      <w:pPr>
        <w:pStyle w:val="4"/>
      </w:pPr>
      <w:bookmarkStart w:id="196" w:name="_Toc113616469"/>
      <w:r>
        <w:rPr>
          <w:rFonts w:hint="eastAsia"/>
        </w:rPr>
        <w:t>直流空调、电热水器和照明灯具应具备功率主动响应功能。</w:t>
      </w:r>
      <w:bookmarkEnd w:id="196"/>
    </w:p>
    <w:p>
      <w:pPr>
        <w:pStyle w:val="4"/>
      </w:pPr>
      <w:bookmarkStart w:id="197" w:name="_Toc113616470"/>
      <w:r>
        <w:rPr>
          <w:rFonts w:hint="eastAsia"/>
        </w:rPr>
        <w:t>照明灯具额定电压宜为</w:t>
      </w:r>
      <w:r>
        <w:t>48V,</w:t>
      </w:r>
      <w:r>
        <w:rPr>
          <w:rFonts w:hint="eastAsia"/>
        </w:rPr>
        <w:t>并具备照度调节功能。</w:t>
      </w:r>
      <w:bookmarkEnd w:id="197"/>
    </w:p>
    <w:p>
      <w:pPr>
        <w:pStyle w:val="4"/>
      </w:pPr>
      <w:bookmarkStart w:id="198" w:name="_Toc113616471"/>
      <w:r>
        <w:rPr>
          <w:rFonts w:hint="eastAsia"/>
        </w:rPr>
        <w:t>直流用电设备的电源插头和插座的额定电流不宜大于</w:t>
      </w:r>
      <w:r>
        <w:t>16A</w:t>
      </w:r>
      <w:r>
        <w:rPr>
          <w:rFonts w:hint="eastAsia"/>
        </w:rPr>
        <w:t>，并应符合下列规定：</w:t>
      </w:r>
      <w:bookmarkEnd w:id="198"/>
    </w:p>
    <w:p>
      <w:pPr>
        <w:pStyle w:val="51"/>
        <w:numPr>
          <w:ilvl w:val="0"/>
          <w:numId w:val="18"/>
        </w:numPr>
        <w:ind w:firstLineChars="0"/>
      </w:pPr>
      <w:r>
        <w:rPr>
          <w:rFonts w:hint="eastAsia"/>
        </w:rPr>
        <w:t>应具备防止插错的功能，并明显区分交流用电设备的电源插头和插座；</w:t>
      </w:r>
    </w:p>
    <w:p>
      <w:pPr>
        <w:pStyle w:val="51"/>
        <w:numPr>
          <w:ilvl w:val="0"/>
          <w:numId w:val="18"/>
        </w:numPr>
        <w:ind w:firstLineChars="0"/>
      </w:pPr>
      <w:r>
        <w:rPr>
          <w:rFonts w:hint="eastAsia"/>
        </w:rPr>
        <w:t>额定电压</w:t>
      </w:r>
      <w:r>
        <w:t>48V</w:t>
      </w:r>
      <w:r>
        <w:rPr>
          <w:rFonts w:hint="eastAsia"/>
        </w:rPr>
        <w:t>的直流用电设备的电源插头和插座，应采用2</w:t>
      </w:r>
      <w:r>
        <w:t>P</w:t>
      </w:r>
      <w:r>
        <w:rPr>
          <w:rFonts w:hint="eastAsia"/>
        </w:rPr>
        <w:t>形式，不应具备保护接地线的接点；</w:t>
      </w:r>
    </w:p>
    <w:p>
      <w:pPr>
        <w:pStyle w:val="51"/>
        <w:numPr>
          <w:ilvl w:val="0"/>
          <w:numId w:val="18"/>
        </w:numPr>
        <w:ind w:firstLineChars="0"/>
      </w:pPr>
      <w:r>
        <w:rPr>
          <w:rFonts w:hint="eastAsia"/>
        </w:rPr>
        <w:t>额定电压</w:t>
      </w:r>
      <w:r>
        <w:t>375V</w:t>
      </w:r>
      <w:r>
        <w:rPr>
          <w:rFonts w:hint="eastAsia"/>
        </w:rPr>
        <w:t>的直流用电设备的电源插头和插座，宜采用</w:t>
      </w:r>
      <w:r>
        <w:t>2P+PE</w:t>
      </w:r>
      <w:r>
        <w:rPr>
          <w:rFonts w:hint="eastAsia"/>
        </w:rPr>
        <w:t>的形式。</w:t>
      </w:r>
    </w:p>
    <w:p>
      <w:pPr>
        <w:pStyle w:val="4"/>
      </w:pPr>
      <w:bookmarkStart w:id="199" w:name="_Toc113616472"/>
      <w:r>
        <w:rPr>
          <w:rFonts w:hint="eastAsia"/>
        </w:rPr>
        <w:t>安全电压适配器额定电压宜为</w:t>
      </w:r>
      <w:r>
        <w:t>48V</w:t>
      </w:r>
      <w:r>
        <w:rPr>
          <w:rFonts w:hint="eastAsia"/>
        </w:rPr>
        <w:t>，工作电压范围应为3</w:t>
      </w:r>
      <w:r>
        <w:t>8V~53V</w:t>
      </w:r>
      <w:r>
        <w:rPr>
          <w:rFonts w:hint="eastAsia"/>
        </w:rPr>
        <w:t>。</w:t>
      </w:r>
      <w:bookmarkEnd w:id="199"/>
    </w:p>
    <w:p>
      <w:pPr>
        <w:pStyle w:val="4"/>
      </w:pPr>
      <w:bookmarkStart w:id="200" w:name="_Toc113616473"/>
      <w:r>
        <w:rPr>
          <w:rFonts w:hint="eastAsia"/>
        </w:rPr>
        <w:t>直流开关及插座应与交流开关和插座具备物理接口上的不同，且不能互换使用，宜具备明显的指示说明，开关和插座应具备主动灭弧功能。</w:t>
      </w:r>
      <w:bookmarkEnd w:id="200"/>
    </w:p>
    <w:p>
      <w:pPr>
        <w:pStyle w:val="3"/>
        <w:spacing w:before="240"/>
        <w:jc w:val="center"/>
      </w:pPr>
      <w:bookmarkStart w:id="201" w:name="_Toc113637062"/>
      <w:r>
        <w:rPr>
          <w:rFonts w:hint="eastAsia"/>
        </w:rPr>
        <w:t>电力线缆</w:t>
      </w:r>
      <w:bookmarkEnd w:id="201"/>
    </w:p>
    <w:p>
      <w:pPr>
        <w:pStyle w:val="4"/>
      </w:pPr>
      <w:bookmarkStart w:id="202" w:name="_Toc113616475"/>
      <w:r>
        <w:rPr>
          <w:rFonts w:hint="eastAsia"/>
        </w:rPr>
        <w:t>直流电缆的选择和敷设应符合现行国家标准GB 50217的有关规定。直流电源系统电缆截面选型计算应满足附录</w:t>
      </w:r>
      <w:r>
        <w:t>E</w:t>
      </w:r>
      <w:r>
        <w:rPr>
          <w:rFonts w:hint="eastAsia"/>
        </w:rPr>
        <w:t>规定。</w:t>
      </w:r>
      <w:bookmarkEnd w:id="202"/>
    </w:p>
    <w:p>
      <w:pPr>
        <w:pStyle w:val="4"/>
      </w:pPr>
      <w:bookmarkStart w:id="203" w:name="_Toc113616476"/>
      <w:r>
        <w:rPr>
          <w:rFonts w:hint="eastAsia"/>
        </w:rPr>
        <w:t>直流电源系统明敷电缆应选用耐火电缆或采取规定的耐火防护措施的阻燃电缆，控制和保护回路直流电缆应选用屏蔽电缆。</w:t>
      </w:r>
      <w:bookmarkEnd w:id="203"/>
    </w:p>
    <w:p>
      <w:pPr>
        <w:pStyle w:val="4"/>
      </w:pPr>
      <w:bookmarkStart w:id="204" w:name="_Toc113616477"/>
      <w:r>
        <w:rPr>
          <w:rFonts w:hint="eastAsia"/>
        </w:rPr>
        <w:t>蓄电池组引出线为电缆时，电缆宜采用单芯电力电缆，当选用多芯电缆时，其允许载流量可按同截面单芯电缆数值计算。蓄电池电缆的正极和负极不应共用一根电缆，该电缆宜采用独立通道，沿最短路径敷设。</w:t>
      </w:r>
      <w:bookmarkEnd w:id="204"/>
    </w:p>
    <w:p>
      <w:pPr>
        <w:pStyle w:val="4"/>
      </w:pPr>
      <w:bookmarkStart w:id="205" w:name="_Toc113616478"/>
      <w:r>
        <w:rPr>
          <w:rFonts w:hint="eastAsia"/>
        </w:rPr>
        <w:t>直流配电柜与直流负载之间的电缆截面选择应符合下列规定：</w:t>
      </w:r>
      <w:bookmarkEnd w:id="205"/>
    </w:p>
    <w:p>
      <w:pPr>
        <w:pStyle w:val="51"/>
        <w:numPr>
          <w:ilvl w:val="0"/>
          <w:numId w:val="19"/>
        </w:numPr>
        <w:ind w:firstLineChars="0"/>
      </w:pPr>
      <w:r>
        <w:rPr>
          <w:rFonts w:hint="eastAsia"/>
        </w:rPr>
        <w:t>电缆长期允许载流量的计算电流应大于电动机额定电流；</w:t>
      </w:r>
    </w:p>
    <w:p>
      <w:pPr>
        <w:pStyle w:val="51"/>
        <w:numPr>
          <w:ilvl w:val="0"/>
          <w:numId w:val="19"/>
        </w:numPr>
        <w:ind w:firstLineChars="0"/>
      </w:pPr>
      <w:r>
        <w:rPr>
          <w:rFonts w:hint="eastAsia"/>
        </w:rPr>
        <w:t>电缆允许电压降不宜大于直流电源系统标称电压的</w:t>
      </w:r>
      <w:r>
        <w:t>5%</w:t>
      </w:r>
      <w:r>
        <w:rPr>
          <w:rFonts w:hint="eastAsia"/>
        </w:rPr>
        <w:t>。</w:t>
      </w:r>
    </w:p>
    <w:p>
      <w:pPr>
        <w:pStyle w:val="4"/>
      </w:pPr>
      <w:bookmarkStart w:id="206" w:name="_Toc113616479"/>
      <w:r>
        <w:rPr>
          <w:rFonts w:hint="eastAsia"/>
        </w:rPr>
        <w:t>两台负载应急联络断路器之间采用电缆连接时，互联电缆电压降不宜大于直流电源系统标称电压的</w:t>
      </w:r>
      <w:r>
        <w:t>5%</w:t>
      </w:r>
      <w:r>
        <w:rPr>
          <w:rFonts w:hint="eastAsia"/>
        </w:rPr>
        <w:t>，其计算电流可按负荷统计表中</w:t>
      </w:r>
      <w:r>
        <w:t>1.0h</w:t>
      </w:r>
      <w:r>
        <w:rPr>
          <w:rFonts w:hint="eastAsia"/>
        </w:rPr>
        <w:t>放电电流的</w:t>
      </w:r>
      <w:r>
        <w:t>50%</w:t>
      </w:r>
      <w:r>
        <w:rPr>
          <w:rFonts w:hint="eastAsia"/>
        </w:rPr>
        <w:t>选取。</w:t>
      </w:r>
      <w:bookmarkEnd w:id="206"/>
    </w:p>
    <w:bookmarkEnd w:id="179"/>
    <w:bookmarkEnd w:id="190"/>
    <w:p>
      <w:pPr>
        <w:widowControl/>
        <w:spacing w:line="240" w:lineRule="auto"/>
        <w:jc w:val="left"/>
        <w:rPr>
          <w:b/>
          <w:bCs/>
          <w:kern w:val="44"/>
          <w:sz w:val="28"/>
          <w:szCs w:val="44"/>
        </w:rPr>
      </w:pPr>
      <w:bookmarkStart w:id="207" w:name="_Toc109750539"/>
      <w:bookmarkStart w:id="208" w:name="_Toc101903675"/>
      <w:bookmarkStart w:id="209" w:name="_Toc101903659"/>
      <w:r>
        <w:br w:type="page"/>
      </w:r>
    </w:p>
    <w:p>
      <w:pPr>
        <w:pStyle w:val="2"/>
      </w:pPr>
      <w:bookmarkStart w:id="210" w:name="_Toc113637063"/>
      <w:r>
        <w:rPr>
          <w:rFonts w:hint="eastAsia"/>
        </w:rPr>
        <w:t>施工与验收</w:t>
      </w:r>
      <w:bookmarkEnd w:id="207"/>
      <w:bookmarkEnd w:id="208"/>
      <w:bookmarkEnd w:id="210"/>
    </w:p>
    <w:p>
      <w:pPr>
        <w:pStyle w:val="3"/>
        <w:jc w:val="center"/>
      </w:pPr>
      <w:bookmarkStart w:id="211" w:name="_Toc113637064"/>
      <w:bookmarkStart w:id="212" w:name="_Toc101903676"/>
      <w:bookmarkStart w:id="213" w:name="_Toc109750540"/>
      <w:r>
        <w:rPr>
          <w:rFonts w:hint="eastAsia"/>
        </w:rPr>
        <w:t>一般规定</w:t>
      </w:r>
      <w:bookmarkEnd w:id="211"/>
      <w:bookmarkEnd w:id="212"/>
      <w:bookmarkEnd w:id="213"/>
    </w:p>
    <w:p>
      <w:pPr>
        <w:pStyle w:val="4"/>
        <w:ind w:left="240" w:leftChars="100"/>
      </w:pPr>
      <w:bookmarkStart w:id="214" w:name="_Toc101903677"/>
      <w:bookmarkStart w:id="215" w:name="_Toc109750541"/>
      <w:r>
        <w:rPr>
          <w:rFonts w:hint="eastAsia"/>
        </w:rPr>
        <w:t xml:space="preserve"> </w:t>
      </w:r>
      <w:r>
        <w:t xml:space="preserve"> </w:t>
      </w:r>
      <w:bookmarkStart w:id="216" w:name="_Toc113616482"/>
      <w:r>
        <w:rPr>
          <w:rFonts w:hint="eastAsia"/>
        </w:rPr>
        <w:t>开工前应具备如下条件：</w:t>
      </w:r>
      <w:bookmarkEnd w:id="214"/>
      <w:bookmarkEnd w:id="215"/>
      <w:bookmarkEnd w:id="216"/>
    </w:p>
    <w:p>
      <w:pPr>
        <w:pStyle w:val="51"/>
        <w:numPr>
          <w:ilvl w:val="0"/>
          <w:numId w:val="20"/>
        </w:numPr>
        <w:ind w:firstLineChars="0"/>
      </w:pPr>
      <w:r>
        <w:t>施工单位应具有相应的施工资质</w:t>
      </w:r>
      <w:r>
        <w:rPr>
          <w:rFonts w:hint="eastAsia"/>
        </w:rPr>
        <w:t>，</w:t>
      </w:r>
      <w:r>
        <w:t>施工人员应具备相应的专业技术资格</w:t>
      </w:r>
      <w:r>
        <w:rPr>
          <w:rFonts w:hint="eastAsia"/>
        </w:rPr>
        <w:t>；</w:t>
      </w:r>
    </w:p>
    <w:p>
      <w:pPr>
        <w:pStyle w:val="51"/>
        <w:numPr>
          <w:ilvl w:val="0"/>
          <w:numId w:val="20"/>
        </w:numPr>
        <w:ind w:firstLineChars="0"/>
      </w:pPr>
      <w:r>
        <w:rPr>
          <w:rFonts w:hint="eastAsia"/>
        </w:rPr>
        <w:t>施工现场应具备三通一平的条件；</w:t>
      </w:r>
    </w:p>
    <w:p>
      <w:pPr>
        <w:pStyle w:val="51"/>
        <w:numPr>
          <w:ilvl w:val="0"/>
          <w:numId w:val="20"/>
        </w:numPr>
        <w:ind w:firstLineChars="0"/>
      </w:pPr>
      <w:r>
        <w:rPr>
          <w:rFonts w:hint="eastAsia"/>
        </w:rPr>
        <w:t>开工前应完成所有专业的图纸会审，并且施工组织设计和重大施工方案应完成相关审批手续；</w:t>
      </w:r>
    </w:p>
    <w:p>
      <w:pPr>
        <w:pStyle w:val="51"/>
        <w:numPr>
          <w:ilvl w:val="0"/>
          <w:numId w:val="20"/>
        </w:numPr>
        <w:ind w:firstLineChars="0"/>
      </w:pPr>
      <w:r>
        <w:rPr>
          <w:rFonts w:hint="eastAsia"/>
        </w:rPr>
        <w:t>施工单位应根据总平面图和企业标准，完成临时设施的建设。</w:t>
      </w:r>
    </w:p>
    <w:p>
      <w:pPr>
        <w:pStyle w:val="4"/>
        <w:ind w:left="240" w:leftChars="100"/>
      </w:pPr>
      <w:bookmarkStart w:id="217" w:name="_Toc101903678"/>
      <w:bookmarkStart w:id="218" w:name="_Toc109750542"/>
      <w:bookmarkStart w:id="219" w:name="_Toc66652848"/>
      <w:r>
        <w:rPr>
          <w:rFonts w:hint="eastAsia"/>
        </w:rPr>
        <w:t xml:space="preserve"> </w:t>
      </w:r>
      <w:r>
        <w:t xml:space="preserve"> </w:t>
      </w:r>
      <w:bookmarkStart w:id="220" w:name="_Toc113616483"/>
      <w:r>
        <w:t>光伏组件、储能设备、风电设备、能量路由器、</w:t>
      </w:r>
      <w:r>
        <w:rPr>
          <w:rFonts w:hint="eastAsia"/>
        </w:rPr>
        <w:t>直流负荷如照明、空调、直流充电桩等主要设备和附属设备、电缆等产品的性能及技术参数应符合设计要求，设备外表面不应有损伤、密封良好，随机文件和配件应齐全。</w:t>
      </w:r>
      <w:bookmarkEnd w:id="217"/>
      <w:bookmarkEnd w:id="218"/>
      <w:bookmarkEnd w:id="220"/>
    </w:p>
    <w:bookmarkEnd w:id="219"/>
    <w:p>
      <w:pPr>
        <w:pStyle w:val="4"/>
        <w:ind w:left="240" w:leftChars="100"/>
      </w:pPr>
      <w:bookmarkStart w:id="221" w:name="_Toc109750544"/>
      <w:bookmarkStart w:id="222" w:name="_Toc101903680"/>
      <w:r>
        <w:rPr>
          <w:rFonts w:hint="eastAsia"/>
        </w:rPr>
        <w:t xml:space="preserve"> </w:t>
      </w:r>
      <w:r>
        <w:t xml:space="preserve"> </w:t>
      </w:r>
      <w:bookmarkStart w:id="223" w:name="_Toc113616484"/>
      <w:r>
        <w:rPr>
          <w:rFonts w:hint="eastAsia"/>
        </w:rPr>
        <w:t>智慧建筑直流能源系统的施工深化设计</w:t>
      </w:r>
      <w:r>
        <w:t>及建造应协同</w:t>
      </w:r>
      <w:r>
        <w:rPr>
          <w:rFonts w:hint="eastAsia"/>
        </w:rPr>
        <w:t>建筑</w:t>
      </w:r>
      <w:r>
        <w:t>、结构、装饰、</w:t>
      </w:r>
      <w:r>
        <w:rPr>
          <w:rFonts w:hint="eastAsia"/>
        </w:rPr>
        <w:t>暖通</w:t>
      </w:r>
      <w:r>
        <w:t>、电气、给排水、智能化等相关专业，</w:t>
      </w:r>
      <w:r>
        <w:rPr>
          <w:rFonts w:hint="eastAsia"/>
        </w:rPr>
        <w:t>达到项目</w:t>
      </w:r>
      <w:r>
        <w:t>全生命周期的高效</w:t>
      </w:r>
      <w:r>
        <w:rPr>
          <w:rFonts w:hint="eastAsia"/>
        </w:rPr>
        <w:t>深化设计</w:t>
      </w:r>
      <w:r>
        <w:t>、</w:t>
      </w:r>
      <w:r>
        <w:rPr>
          <w:rFonts w:hint="eastAsia"/>
        </w:rPr>
        <w:t>建造</w:t>
      </w:r>
      <w:r>
        <w:t>及运行</w:t>
      </w:r>
      <w:r>
        <w:rPr>
          <w:rFonts w:hint="eastAsia"/>
        </w:rPr>
        <w:t>。</w:t>
      </w:r>
      <w:bookmarkEnd w:id="221"/>
      <w:bookmarkEnd w:id="222"/>
      <w:bookmarkEnd w:id="223"/>
    </w:p>
    <w:p>
      <w:pPr>
        <w:pStyle w:val="4"/>
        <w:ind w:left="240" w:leftChars="100"/>
      </w:pPr>
      <w:bookmarkStart w:id="224" w:name="_Toc101903681"/>
      <w:bookmarkStart w:id="225" w:name="_Toc109750545"/>
      <w:r>
        <w:rPr>
          <w:rFonts w:hint="eastAsia"/>
        </w:rPr>
        <w:t xml:space="preserve"> </w:t>
      </w:r>
      <w:r>
        <w:t xml:space="preserve"> </w:t>
      </w:r>
      <w:bookmarkStart w:id="226" w:name="_Toc113616485"/>
      <w:r>
        <w:rPr>
          <w:rFonts w:hint="eastAsia"/>
        </w:rPr>
        <w:t>施工过程记录及相关实验记录应齐全</w:t>
      </w:r>
      <w:bookmarkEnd w:id="226"/>
    </w:p>
    <w:p>
      <w:pPr>
        <w:pStyle w:val="4"/>
        <w:ind w:left="240" w:leftChars="100"/>
      </w:pPr>
      <w:r>
        <w:rPr>
          <w:rFonts w:hint="eastAsia"/>
        </w:rPr>
        <w:t xml:space="preserve"> </w:t>
      </w:r>
      <w:r>
        <w:t xml:space="preserve"> </w:t>
      </w:r>
      <w:bookmarkStart w:id="227" w:name="_Toc113616486"/>
      <w:r>
        <w:rPr>
          <w:rFonts w:hint="eastAsia"/>
        </w:rPr>
        <w:t>隐蔽工程应具备下列条件：</w:t>
      </w:r>
      <w:bookmarkEnd w:id="224"/>
      <w:bookmarkEnd w:id="225"/>
      <w:bookmarkEnd w:id="227"/>
    </w:p>
    <w:p>
      <w:pPr>
        <w:pStyle w:val="51"/>
        <w:numPr>
          <w:ilvl w:val="0"/>
          <w:numId w:val="21"/>
        </w:numPr>
        <w:ind w:firstLineChars="0"/>
      </w:pPr>
      <w:r>
        <w:rPr>
          <w:rFonts w:hint="eastAsia"/>
        </w:rPr>
        <w:t>隐蔽工程隐蔽前，施工单位应根据工程直流评定及验收标准进行自检，自检合格后向监理方提出验收申请；</w:t>
      </w:r>
    </w:p>
    <w:p>
      <w:pPr>
        <w:pStyle w:val="51"/>
        <w:numPr>
          <w:ilvl w:val="0"/>
          <w:numId w:val="21"/>
        </w:numPr>
        <w:ind w:firstLineChars="0"/>
      </w:pPr>
      <w:r>
        <w:rPr>
          <w:rFonts w:hint="eastAsia"/>
        </w:rPr>
        <w:t>经监理工程师验收合格后方可进行隐蔽。</w:t>
      </w:r>
    </w:p>
    <w:p>
      <w:pPr>
        <w:pStyle w:val="3"/>
        <w:spacing w:line="360" w:lineRule="auto"/>
        <w:jc w:val="center"/>
      </w:pPr>
      <w:bookmarkStart w:id="228" w:name="_Toc113637065"/>
      <w:bookmarkStart w:id="229" w:name="_Toc101903682"/>
      <w:bookmarkStart w:id="230" w:name="_Toc109750547"/>
      <w:r>
        <w:rPr>
          <w:rFonts w:hint="eastAsia"/>
        </w:rPr>
        <w:t>设备安装</w:t>
      </w:r>
      <w:bookmarkEnd w:id="228"/>
      <w:bookmarkEnd w:id="229"/>
      <w:bookmarkEnd w:id="230"/>
    </w:p>
    <w:p>
      <w:pPr>
        <w:pStyle w:val="4"/>
      </w:pPr>
      <w:bookmarkStart w:id="231" w:name="_Toc113616488"/>
      <w:bookmarkStart w:id="232" w:name="_Toc109750548"/>
      <w:r>
        <w:rPr>
          <w:rFonts w:hint="eastAsia"/>
        </w:rPr>
        <w:t>光伏发电系统，如光伏组件、光伏支架、汇流箱以及电气二次系统、其他电气设备、防雷接地等安装质量满足G</w:t>
      </w:r>
      <w:r>
        <w:t>B50794</w:t>
      </w:r>
      <w:r>
        <w:rPr>
          <w:rFonts w:hint="eastAsia"/>
        </w:rPr>
        <w:t>的相关要求。</w:t>
      </w:r>
      <w:bookmarkEnd w:id="231"/>
    </w:p>
    <w:p>
      <w:pPr>
        <w:pStyle w:val="4"/>
      </w:pPr>
      <w:bookmarkStart w:id="233" w:name="_Toc113616489"/>
      <w:r>
        <w:rPr>
          <w:rFonts w:hint="eastAsia"/>
        </w:rPr>
        <w:t>风电机组、塔架、机舱和叶轮的安装质量满足G</w:t>
      </w:r>
      <w:r>
        <w:t>B/T51121</w:t>
      </w:r>
      <w:r>
        <w:rPr>
          <w:rFonts w:hint="eastAsia"/>
        </w:rPr>
        <w:t>的相关要求。</w:t>
      </w:r>
      <w:bookmarkEnd w:id="233"/>
    </w:p>
    <w:p>
      <w:pPr>
        <w:pStyle w:val="4"/>
      </w:pPr>
      <w:bookmarkStart w:id="234" w:name="_Toc113616490"/>
      <w:r>
        <w:rPr>
          <w:rFonts w:hint="eastAsia"/>
        </w:rPr>
        <w:t>储能电池及电池管理系统等安装应满足G</w:t>
      </w:r>
      <w:r>
        <w:t>B50148</w:t>
      </w:r>
      <w:r>
        <w:rPr>
          <w:rFonts w:hint="eastAsia"/>
        </w:rPr>
        <w:t>的相关技术要求，电池的布置应满足电池产品的防火、防爆和通风要求。</w:t>
      </w:r>
      <w:bookmarkEnd w:id="234"/>
    </w:p>
    <w:p>
      <w:pPr>
        <w:pStyle w:val="4"/>
      </w:pPr>
      <w:bookmarkStart w:id="235" w:name="_Toc113616491"/>
      <w:r>
        <w:rPr>
          <w:rFonts w:hint="eastAsia"/>
        </w:rPr>
        <w:t>直流照明灯具等直流负载安装质量满足T</w:t>
      </w:r>
      <w:r>
        <w:t>/CECS705</w:t>
      </w:r>
      <w:r>
        <w:rPr>
          <w:rFonts w:hint="eastAsia"/>
        </w:rPr>
        <w:t>的相关要求。</w:t>
      </w:r>
      <w:bookmarkEnd w:id="235"/>
    </w:p>
    <w:p>
      <w:pPr>
        <w:pStyle w:val="4"/>
      </w:pPr>
      <w:bookmarkStart w:id="236" w:name="_Toc113616492"/>
      <w:r>
        <w:rPr>
          <w:rFonts w:hint="eastAsia"/>
        </w:rPr>
        <w:t>智慧建筑直流能源系统，如冷热源系统中的机械设备、辅助设备、阀门、管路、管件等安装质量，满足现行G</w:t>
      </w:r>
      <w:r>
        <w:t>B50243</w:t>
      </w:r>
      <w:r>
        <w:rPr>
          <w:rFonts w:hint="eastAsia"/>
        </w:rPr>
        <w:t>的相关要求。</w:t>
      </w:r>
      <w:bookmarkEnd w:id="236"/>
    </w:p>
    <w:p>
      <w:pPr>
        <w:pStyle w:val="4"/>
      </w:pPr>
      <w:bookmarkStart w:id="237" w:name="_Toc113616493"/>
      <w:r>
        <w:rPr>
          <w:rFonts w:hint="eastAsia"/>
        </w:rPr>
        <w:t>电能转换装置宜安装在独立的配电间，且具备良好的通风、温湿度控制、低灰尘、无腐蚀环境和消防设施。应符合</w:t>
      </w:r>
      <w:r>
        <w:t>DL/T 593 和 GB/T 24274</w:t>
      </w:r>
      <w:r>
        <w:rPr>
          <w:rFonts w:hint="eastAsia"/>
        </w:rPr>
        <w:t>的有关设备施工及安装规定。</w:t>
      </w:r>
      <w:bookmarkEnd w:id="237"/>
    </w:p>
    <w:bookmarkEnd w:id="232"/>
    <w:p>
      <w:pPr>
        <w:pStyle w:val="4"/>
      </w:pPr>
      <w:bookmarkStart w:id="238" w:name="_Toc113616494"/>
      <w:r>
        <w:rPr>
          <w:rFonts w:hint="eastAsia"/>
        </w:rPr>
        <w:t>储能系统应安装在相对独立的电池室，与其他设</w:t>
      </w:r>
      <w:bookmarkStart w:id="239" w:name="OLE_LINK9"/>
      <w:r>
        <w:rPr>
          <w:rFonts w:hint="eastAsia"/>
        </w:rPr>
        <w:t>备具备物理上的安全隔离装置</w:t>
      </w:r>
      <w:bookmarkEnd w:id="239"/>
      <w:r>
        <w:rPr>
          <w:rFonts w:hint="eastAsia"/>
        </w:rPr>
        <w:t>，应尽可能地安装在室外，且具有良好通风、散热和温湿度控制环境。同时应具备消防、灭火和可燃气体检测等功能。</w:t>
      </w:r>
      <w:bookmarkEnd w:id="238"/>
    </w:p>
    <w:p>
      <w:pPr>
        <w:pStyle w:val="4"/>
      </w:pPr>
      <w:bookmarkStart w:id="240" w:name="_Toc113616495"/>
      <w:r>
        <w:rPr>
          <w:rFonts w:hint="eastAsia"/>
        </w:rPr>
        <w:t>风电机组</w:t>
      </w:r>
      <w:bookmarkStart w:id="241" w:name="OLE_LINK10"/>
      <w:r>
        <w:rPr>
          <w:rFonts w:hint="eastAsia"/>
        </w:rPr>
        <w:t>应尽可能地安装在空旷区域，且</w:t>
      </w:r>
      <w:bookmarkEnd w:id="241"/>
      <w:r>
        <w:rPr>
          <w:rFonts w:hint="eastAsia"/>
        </w:rPr>
        <w:t>叶片旋转半径两倍空间内不能有建筑物或障碍物。</w:t>
      </w:r>
      <w:bookmarkEnd w:id="240"/>
    </w:p>
    <w:p>
      <w:pPr>
        <w:pStyle w:val="4"/>
      </w:pPr>
      <w:bookmarkStart w:id="242" w:name="_Toc113616496"/>
      <w:bookmarkStart w:id="243" w:name="_Toc109750552"/>
      <w:r>
        <w:rPr>
          <w:rFonts w:hint="eastAsia"/>
        </w:rPr>
        <w:t>当重大设备运输及吊装时，应制定专项方案采取防护措施，并应做到施工安全。</w:t>
      </w:r>
      <w:bookmarkEnd w:id="242"/>
      <w:bookmarkEnd w:id="243"/>
    </w:p>
    <w:p>
      <w:pPr>
        <w:pStyle w:val="3"/>
        <w:spacing w:line="360" w:lineRule="auto"/>
        <w:jc w:val="center"/>
      </w:pPr>
      <w:bookmarkStart w:id="244" w:name="_Toc101903688"/>
      <w:bookmarkStart w:id="245" w:name="_Toc109750558"/>
      <w:bookmarkStart w:id="246" w:name="_Toc113637066"/>
      <w:r>
        <w:t>电气系统施工安装</w:t>
      </w:r>
      <w:bookmarkEnd w:id="244"/>
      <w:bookmarkEnd w:id="245"/>
      <w:bookmarkEnd w:id="246"/>
    </w:p>
    <w:p>
      <w:pPr>
        <w:pStyle w:val="4"/>
      </w:pPr>
      <w:bookmarkStart w:id="247" w:name="_Toc113616498"/>
      <w:bookmarkStart w:id="248" w:name="_Toc109750559"/>
      <w:bookmarkStart w:id="249" w:name="_Toc101903689"/>
      <w:r>
        <w:rPr>
          <w:rFonts w:hint="eastAsia"/>
        </w:rPr>
        <w:t>电气设备和系统施工安装应按照GB</w:t>
      </w:r>
      <w:r>
        <w:t xml:space="preserve"> </w:t>
      </w:r>
      <w:r>
        <w:rPr>
          <w:rFonts w:hint="eastAsia"/>
        </w:rPr>
        <w:t>50303的要求执行。</w:t>
      </w:r>
      <w:bookmarkEnd w:id="247"/>
      <w:bookmarkEnd w:id="248"/>
      <w:bookmarkEnd w:id="249"/>
    </w:p>
    <w:p>
      <w:pPr>
        <w:pStyle w:val="4"/>
      </w:pPr>
      <w:bookmarkStart w:id="250" w:name="_Toc109750560"/>
      <w:bookmarkStart w:id="251" w:name="_Toc113616499"/>
      <w:r>
        <w:rPr>
          <w:rFonts w:hint="eastAsia"/>
        </w:rPr>
        <w:t>电气设备的试验应符合国家标准G</w:t>
      </w:r>
      <w:r>
        <w:t>B50150</w:t>
      </w:r>
      <w:r>
        <w:rPr>
          <w:rFonts w:hint="eastAsia"/>
        </w:rPr>
        <w:t>的有关规定。</w:t>
      </w:r>
      <w:bookmarkEnd w:id="250"/>
      <w:bookmarkEnd w:id="251"/>
    </w:p>
    <w:p>
      <w:pPr>
        <w:pStyle w:val="4"/>
      </w:pPr>
      <w:bookmarkStart w:id="252" w:name="_Toc101903690"/>
      <w:bookmarkStart w:id="253" w:name="_Toc109750561"/>
      <w:bookmarkStart w:id="254" w:name="_Toc113616500"/>
      <w:r>
        <w:rPr>
          <w:rFonts w:hint="eastAsia"/>
        </w:rPr>
        <w:t>智慧建筑直流能源系统等装有变频器等需要散热设备的配电柜（盘），应充分考虑其距墙间距和散热风口安装位置，保证其散热条件，防止电气设备过热保护导致设备停机重启。</w:t>
      </w:r>
      <w:bookmarkEnd w:id="252"/>
      <w:bookmarkEnd w:id="253"/>
      <w:bookmarkEnd w:id="254"/>
    </w:p>
    <w:p>
      <w:pPr>
        <w:pStyle w:val="4"/>
      </w:pPr>
      <w:bookmarkStart w:id="255" w:name="_Toc66652873"/>
      <w:bookmarkStart w:id="256" w:name="_Toc101903691"/>
      <w:bookmarkStart w:id="257" w:name="_Toc113616501"/>
      <w:bookmarkStart w:id="258" w:name="_Toc109750562"/>
      <w:r>
        <w:rPr>
          <w:rFonts w:hint="eastAsia"/>
        </w:rPr>
        <w:t>电缆敷设时应在其首端、末端和分支处设置标志牌，标志牌内容应包括线路编号、电缆型号、规格和起止地点，电缆终端上应有明显的相色标志，且应同系统的相位一致。</w:t>
      </w:r>
      <w:bookmarkEnd w:id="255"/>
      <w:bookmarkEnd w:id="256"/>
      <w:bookmarkEnd w:id="257"/>
      <w:bookmarkEnd w:id="258"/>
    </w:p>
    <w:p>
      <w:pPr>
        <w:pStyle w:val="4"/>
      </w:pPr>
      <w:bookmarkStart w:id="259" w:name="_Toc66652874"/>
      <w:bookmarkStart w:id="260" w:name="_Toc113616502"/>
      <w:bookmarkStart w:id="261" w:name="_Toc109750563"/>
      <w:bookmarkStart w:id="262" w:name="_Toc101903692"/>
      <w:r>
        <w:t>电气元器件的使用</w:t>
      </w:r>
      <w:r>
        <w:rPr>
          <w:rFonts w:hint="eastAsia"/>
        </w:rPr>
        <w:t>环境应设置</w:t>
      </w:r>
      <w:r>
        <w:t>合理</w:t>
      </w:r>
      <w:r>
        <w:rPr>
          <w:rFonts w:hint="eastAsia"/>
        </w:rPr>
        <w:t>的通风条件，</w:t>
      </w:r>
      <w:r>
        <w:t>避免因电气元器件损坏导致设备宕机</w:t>
      </w:r>
      <w:r>
        <w:rPr>
          <w:rFonts w:hint="eastAsia"/>
        </w:rPr>
        <w:t>。</w:t>
      </w:r>
      <w:bookmarkEnd w:id="259"/>
      <w:bookmarkEnd w:id="260"/>
      <w:bookmarkEnd w:id="261"/>
      <w:bookmarkEnd w:id="262"/>
    </w:p>
    <w:p/>
    <w:p>
      <w:pPr>
        <w:pStyle w:val="3"/>
        <w:spacing w:line="360" w:lineRule="auto"/>
        <w:jc w:val="center"/>
      </w:pPr>
      <w:bookmarkStart w:id="263" w:name="_Toc101903694"/>
      <w:bookmarkStart w:id="264" w:name="_Toc109750565"/>
      <w:bookmarkStart w:id="265" w:name="_Toc113637067"/>
      <w:r>
        <w:t>BIM</w:t>
      </w:r>
      <w:r>
        <w:rPr>
          <w:rFonts w:hint="eastAsia"/>
        </w:rPr>
        <w:t>技术应用</w:t>
      </w:r>
      <w:bookmarkEnd w:id="263"/>
      <w:bookmarkEnd w:id="264"/>
      <w:bookmarkEnd w:id="265"/>
    </w:p>
    <w:p>
      <w:pPr>
        <w:pStyle w:val="4"/>
      </w:pPr>
      <w:bookmarkStart w:id="266" w:name="_Toc113616504"/>
      <w:r>
        <w:rPr>
          <w:rFonts w:hint="eastAsia"/>
        </w:rPr>
        <w:t>智慧建筑直流能源系统宜采用</w:t>
      </w:r>
      <w:r>
        <w:t>BIM</w:t>
      </w:r>
      <w:r>
        <w:rPr>
          <w:rFonts w:hint="eastAsia"/>
        </w:rPr>
        <w:t>技术进行设备布置、设备系统信息、管网综合等方案优化、深化设计、施工建设及后期运营，并应符合下列规定：</w:t>
      </w:r>
      <w:bookmarkEnd w:id="266"/>
    </w:p>
    <w:p>
      <w:pPr>
        <w:pStyle w:val="51"/>
        <w:numPr>
          <w:ilvl w:val="0"/>
          <w:numId w:val="22"/>
        </w:numPr>
        <w:ind w:firstLineChars="0"/>
      </w:pPr>
      <w:r>
        <w:rPr>
          <w:rFonts w:hint="eastAsia"/>
        </w:rPr>
        <w:t>宜结合设计参数、订货设备参数、现场环境条件合理布置光伏系统、储能设备、风电设备、能量路由器、直流充电桩以及相关辅助设备；</w:t>
      </w:r>
    </w:p>
    <w:p>
      <w:pPr>
        <w:pStyle w:val="51"/>
        <w:numPr>
          <w:ilvl w:val="0"/>
          <w:numId w:val="22"/>
        </w:numPr>
        <w:ind w:firstLineChars="0"/>
      </w:pPr>
      <w:r>
        <w:rPr>
          <w:rFonts w:hint="eastAsia"/>
        </w:rPr>
        <w:t>宜结合设计参数、订货设备参数、现场环境条件、建筑布局和空间要求、智慧能源系统如照明、空调系统等的高效运行进行合理优化设计；</w:t>
      </w:r>
    </w:p>
    <w:p>
      <w:pPr>
        <w:pStyle w:val="51"/>
        <w:numPr>
          <w:ilvl w:val="0"/>
          <w:numId w:val="22"/>
        </w:numPr>
        <w:ind w:firstLineChars="0"/>
      </w:pPr>
      <w:r>
        <w:rPr>
          <w:rFonts w:hint="eastAsia"/>
        </w:rPr>
        <w:t>宜采用</w:t>
      </w:r>
      <w:r>
        <w:t>BIM+</w:t>
      </w:r>
      <w:r>
        <w:rPr>
          <w:rFonts w:hint="eastAsia"/>
        </w:rPr>
        <w:t>装配式施工等建造技术。</w:t>
      </w:r>
    </w:p>
    <w:p>
      <w:pPr>
        <w:pStyle w:val="4"/>
      </w:pPr>
      <w:bookmarkStart w:id="267" w:name="_Toc109750569"/>
      <w:bookmarkStart w:id="268" w:name="_Toc113616505"/>
      <w:bookmarkStart w:id="269" w:name="_Toc101903698"/>
      <w:r>
        <w:rPr>
          <w:rFonts w:hint="eastAsia"/>
        </w:rPr>
        <w:t>应用B</w:t>
      </w:r>
      <w:r>
        <w:t>IM</w:t>
      </w:r>
      <w:r>
        <w:rPr>
          <w:rFonts w:hint="eastAsia"/>
        </w:rPr>
        <w:t>模型实施进度计划动态管理，将实际进度信息添加或链接到进度管理模型，对施工阶段的作业程序和作业时间进行规划、实施、检查和分析。</w:t>
      </w:r>
      <w:bookmarkEnd w:id="267"/>
      <w:bookmarkEnd w:id="268"/>
      <w:bookmarkEnd w:id="269"/>
    </w:p>
    <w:p/>
    <w:p>
      <w:pPr>
        <w:pStyle w:val="3"/>
        <w:jc w:val="center"/>
      </w:pPr>
      <w:bookmarkStart w:id="270" w:name="_Toc101903699"/>
      <w:bookmarkStart w:id="271" w:name="_Toc109750570"/>
      <w:bookmarkStart w:id="272" w:name="_Toc113637068"/>
      <w:r>
        <w:rPr>
          <w:rFonts w:hint="eastAsia"/>
        </w:rPr>
        <w:t>智慧建筑直流能源管理系统安装</w:t>
      </w:r>
      <w:bookmarkEnd w:id="270"/>
      <w:bookmarkEnd w:id="271"/>
      <w:bookmarkEnd w:id="272"/>
    </w:p>
    <w:p>
      <w:pPr>
        <w:pStyle w:val="4"/>
      </w:pPr>
      <w:bookmarkStart w:id="273" w:name="_Toc66652900"/>
      <w:bookmarkStart w:id="274" w:name="_Toc113616507"/>
      <w:bookmarkStart w:id="275" w:name="_Toc109750571"/>
      <w:r>
        <w:t>系统工作电源</w:t>
      </w:r>
      <w:r>
        <w:rPr>
          <w:rFonts w:hint="eastAsia"/>
        </w:rPr>
        <w:t>应满足</w:t>
      </w:r>
      <w:r>
        <w:t>使用要求，采用必要的屏蔽措施，运行不受</w:t>
      </w:r>
      <w:r>
        <w:rPr>
          <w:rFonts w:hint="eastAsia"/>
        </w:rPr>
        <w:t>变频</w:t>
      </w:r>
      <w:r>
        <w:t>设备</w:t>
      </w:r>
      <w:r>
        <w:rPr>
          <w:rFonts w:hint="eastAsia"/>
        </w:rPr>
        <w:t>运行</w:t>
      </w:r>
      <w:r>
        <w:t>谐波</w:t>
      </w:r>
      <w:r>
        <w:rPr>
          <w:rFonts w:hint="eastAsia"/>
        </w:rPr>
        <w:t>及</w:t>
      </w:r>
      <w:r>
        <w:t>电磁辐射</w:t>
      </w:r>
      <w:r>
        <w:rPr>
          <w:rFonts w:hint="eastAsia"/>
        </w:rPr>
        <w:t>的</w:t>
      </w:r>
      <w:r>
        <w:t>干扰。</w:t>
      </w:r>
      <w:bookmarkEnd w:id="273"/>
      <w:bookmarkEnd w:id="274"/>
      <w:bookmarkEnd w:id="275"/>
    </w:p>
    <w:p>
      <w:pPr>
        <w:pStyle w:val="4"/>
      </w:pPr>
      <w:bookmarkStart w:id="276" w:name="_Toc113616508"/>
      <w:bookmarkStart w:id="277" w:name="_Toc109750572"/>
      <w:bookmarkStart w:id="278" w:name="_Toc66652895"/>
      <w:r>
        <w:rPr>
          <w:rFonts w:hint="eastAsia"/>
        </w:rPr>
        <w:t>各</w:t>
      </w:r>
      <w:r>
        <w:t>传感器</w:t>
      </w:r>
      <w:r>
        <w:rPr>
          <w:rFonts w:hint="eastAsia"/>
        </w:rPr>
        <w:t>及</w:t>
      </w:r>
      <w:r>
        <w:t>执行器</w:t>
      </w:r>
      <w:r>
        <w:rPr>
          <w:rFonts w:hint="eastAsia"/>
        </w:rPr>
        <w:t>产品</w:t>
      </w:r>
      <w:r>
        <w:t>的</w:t>
      </w:r>
      <w:r>
        <w:rPr>
          <w:rFonts w:hint="eastAsia"/>
        </w:rPr>
        <w:t>测量及</w:t>
      </w:r>
      <w:r>
        <w:t>控制精度</w:t>
      </w:r>
      <w:r>
        <w:rPr>
          <w:rFonts w:hint="eastAsia"/>
        </w:rPr>
        <w:t>应</w:t>
      </w:r>
      <w:r>
        <w:t>满足</w:t>
      </w:r>
      <w:r>
        <w:rPr>
          <w:rFonts w:hint="eastAsia"/>
        </w:rPr>
        <w:t>设计</w:t>
      </w:r>
      <w:r>
        <w:t>要求，</w:t>
      </w:r>
      <w:r>
        <w:rPr>
          <w:rFonts w:hint="eastAsia"/>
        </w:rPr>
        <w:t>并都在检测</w:t>
      </w:r>
      <w:r>
        <w:t>合格有效期内。</w:t>
      </w:r>
      <w:bookmarkEnd w:id="276"/>
      <w:bookmarkEnd w:id="277"/>
      <w:bookmarkEnd w:id="278"/>
    </w:p>
    <w:p>
      <w:pPr>
        <w:pStyle w:val="4"/>
      </w:pPr>
      <w:bookmarkStart w:id="279" w:name="_Toc113616509"/>
      <w:bookmarkStart w:id="280" w:name="_Toc109750573"/>
      <w:bookmarkStart w:id="281" w:name="_Toc66652896"/>
      <w:r>
        <w:rPr>
          <w:rFonts w:hint="eastAsia"/>
        </w:rPr>
        <w:t>传感器、执行器的安装应严格按照说明书的要求进行，并应符合下列规定：</w:t>
      </w:r>
      <w:bookmarkEnd w:id="279"/>
      <w:bookmarkEnd w:id="280"/>
    </w:p>
    <w:p>
      <w:pPr>
        <w:pStyle w:val="51"/>
        <w:numPr>
          <w:ilvl w:val="0"/>
          <w:numId w:val="23"/>
        </w:numPr>
        <w:ind w:firstLineChars="0"/>
      </w:pPr>
      <w:r>
        <w:rPr>
          <w:rFonts w:hint="eastAsia"/>
        </w:rPr>
        <w:t>接线应按照接线图和设备说明书进行，配线应整齐，不宜交叉；</w:t>
      </w:r>
    </w:p>
    <w:p>
      <w:pPr>
        <w:pStyle w:val="51"/>
        <w:numPr>
          <w:ilvl w:val="0"/>
          <w:numId w:val="23"/>
        </w:numPr>
        <w:ind w:firstLineChars="0"/>
      </w:pPr>
      <w:r>
        <w:rPr>
          <w:rFonts w:hint="eastAsia"/>
        </w:rPr>
        <w:t>接线应固定牢靠，端部均应标明编号。</w:t>
      </w:r>
      <w:bookmarkEnd w:id="281"/>
    </w:p>
    <w:p>
      <w:pPr>
        <w:pStyle w:val="4"/>
      </w:pPr>
      <w:bookmarkStart w:id="282" w:name="_Toc66652899"/>
      <w:bookmarkStart w:id="283" w:name="_Toc109750574"/>
      <w:bookmarkStart w:id="284" w:name="_Toc113616510"/>
      <w:r>
        <w:rPr>
          <w:rFonts w:hint="eastAsia"/>
        </w:rPr>
        <w:t>各传感器、</w:t>
      </w:r>
      <w:r>
        <w:t>执行器的</w:t>
      </w:r>
      <w:r>
        <w:rPr>
          <w:rFonts w:hint="eastAsia"/>
        </w:rPr>
        <w:t>安装位置应</w:t>
      </w:r>
      <w:r>
        <w:t>留有足够的检修</w:t>
      </w:r>
      <w:r>
        <w:rPr>
          <w:rFonts w:hint="eastAsia"/>
        </w:rPr>
        <w:t>、</w:t>
      </w:r>
      <w:r>
        <w:t>维护空间</w:t>
      </w:r>
      <w:r>
        <w:rPr>
          <w:rFonts w:hint="eastAsia"/>
        </w:rPr>
        <w:t>。</w:t>
      </w:r>
      <w:bookmarkEnd w:id="282"/>
      <w:bookmarkEnd w:id="283"/>
      <w:bookmarkEnd w:id="284"/>
    </w:p>
    <w:p/>
    <w:p>
      <w:pPr>
        <w:pStyle w:val="3"/>
        <w:jc w:val="center"/>
      </w:pPr>
      <w:bookmarkStart w:id="285" w:name="_Toc113637069"/>
      <w:bookmarkStart w:id="286" w:name="_Toc109750578"/>
      <w:r>
        <w:rPr>
          <w:rFonts w:hint="eastAsia"/>
        </w:rPr>
        <w:t>调试及验收</w:t>
      </w:r>
      <w:bookmarkEnd w:id="285"/>
      <w:bookmarkEnd w:id="286"/>
    </w:p>
    <w:p>
      <w:pPr>
        <w:pStyle w:val="4"/>
      </w:pPr>
      <w:bookmarkStart w:id="287" w:name="_Toc113616512"/>
      <w:bookmarkStart w:id="288" w:name="_Toc109750579"/>
      <w:r>
        <w:rPr>
          <w:rFonts w:hint="eastAsia"/>
        </w:rPr>
        <w:t>智慧建筑直流能源系统施工质量需满足G</w:t>
      </w:r>
      <w:r>
        <w:t>B50411</w:t>
      </w:r>
      <w:r>
        <w:rPr>
          <w:rFonts w:hint="eastAsia"/>
        </w:rPr>
        <w:t>的相关规定。</w:t>
      </w:r>
      <w:bookmarkEnd w:id="287"/>
    </w:p>
    <w:p>
      <w:pPr>
        <w:pStyle w:val="4"/>
      </w:pPr>
      <w:bookmarkStart w:id="289" w:name="_Toc113616513"/>
      <w:r>
        <w:rPr>
          <w:rFonts w:hint="eastAsia"/>
        </w:rPr>
        <w:t>设备调试</w:t>
      </w:r>
      <w:bookmarkEnd w:id="288"/>
      <w:r>
        <w:rPr>
          <w:rFonts w:hint="eastAsia"/>
        </w:rPr>
        <w:t>应满足下列规定：</w:t>
      </w:r>
      <w:bookmarkEnd w:id="289"/>
    </w:p>
    <w:p>
      <w:pPr>
        <w:pStyle w:val="51"/>
        <w:numPr>
          <w:ilvl w:val="0"/>
          <w:numId w:val="24"/>
        </w:numPr>
        <w:ind w:firstLineChars="0"/>
      </w:pPr>
      <w:r>
        <w:rPr>
          <w:rFonts w:hint="eastAsia"/>
        </w:rPr>
        <w:t>设备调试应包括风力发电系统、光伏发电系统、储能系统等发电设备，以及直流充电桩、直流照明灯具、直流空调等直流用电设备；</w:t>
      </w:r>
    </w:p>
    <w:p>
      <w:pPr>
        <w:pStyle w:val="51"/>
        <w:numPr>
          <w:ilvl w:val="0"/>
          <w:numId w:val="24"/>
        </w:numPr>
        <w:ind w:firstLineChars="0"/>
      </w:pPr>
      <w:r>
        <w:rPr>
          <w:rFonts w:hint="eastAsia"/>
        </w:rPr>
        <w:t>冷源直流空调系统，如冷水机组、风冷热泵、水源热泵、循环水泵、冷却塔风机以及辅助设备定压装置、加药装置等设备调试应满足设备厂商的相关技术要求。</w:t>
      </w:r>
    </w:p>
    <w:p>
      <w:pPr>
        <w:pStyle w:val="51"/>
        <w:numPr>
          <w:ilvl w:val="0"/>
          <w:numId w:val="24"/>
        </w:numPr>
        <w:ind w:firstLineChars="0"/>
      </w:pPr>
      <w:r>
        <w:rPr>
          <w:rFonts w:hint="eastAsia"/>
        </w:rPr>
        <w:t>设备调试前应具备下列条件：</w:t>
      </w:r>
    </w:p>
    <w:p>
      <w:pPr>
        <w:pStyle w:val="51"/>
        <w:numPr>
          <w:ilvl w:val="1"/>
          <w:numId w:val="25"/>
        </w:numPr>
        <w:spacing w:line="300" w:lineRule="auto"/>
        <w:ind w:firstLineChars="0"/>
      </w:pPr>
      <w:r>
        <w:rPr>
          <w:rFonts w:hint="eastAsia"/>
        </w:rPr>
        <w:t>设备应安装完毕，并且安装过程资料完整齐全；</w:t>
      </w:r>
    </w:p>
    <w:p>
      <w:pPr>
        <w:pStyle w:val="51"/>
        <w:numPr>
          <w:ilvl w:val="1"/>
          <w:numId w:val="25"/>
        </w:numPr>
        <w:spacing w:line="300" w:lineRule="auto"/>
        <w:ind w:firstLineChars="0"/>
      </w:pPr>
      <w:r>
        <w:rPr>
          <w:rFonts w:hint="eastAsia"/>
        </w:rPr>
        <w:t>现场应提供调试电源，并确认临时供电设备电压、频率及容量符合调试要求；</w:t>
      </w:r>
    </w:p>
    <w:p>
      <w:pPr>
        <w:pStyle w:val="51"/>
        <w:numPr>
          <w:ilvl w:val="1"/>
          <w:numId w:val="25"/>
        </w:numPr>
        <w:spacing w:line="300" w:lineRule="auto"/>
        <w:ind w:firstLineChars="0"/>
      </w:pPr>
      <w:r>
        <w:rPr>
          <w:rFonts w:hint="eastAsia"/>
        </w:rPr>
        <w:t>调试现场应无其他大型作业活动；</w:t>
      </w:r>
    </w:p>
    <w:p>
      <w:pPr>
        <w:pStyle w:val="51"/>
        <w:numPr>
          <w:ilvl w:val="1"/>
          <w:numId w:val="25"/>
        </w:numPr>
        <w:spacing w:line="300" w:lineRule="auto"/>
        <w:ind w:firstLineChars="0"/>
      </w:pPr>
      <w:r>
        <w:rPr>
          <w:rFonts w:hint="eastAsia"/>
        </w:rPr>
        <w:t>设备随机文件、备品备件应齐全；</w:t>
      </w:r>
    </w:p>
    <w:p>
      <w:pPr>
        <w:pStyle w:val="51"/>
        <w:numPr>
          <w:ilvl w:val="1"/>
          <w:numId w:val="25"/>
        </w:numPr>
        <w:spacing w:line="300" w:lineRule="auto"/>
        <w:ind w:firstLineChars="0"/>
      </w:pPr>
      <w:r>
        <w:rPr>
          <w:rFonts w:hint="eastAsia"/>
        </w:rPr>
        <w:t>应编制相应的调试方案并经业主方、监理方同意。</w:t>
      </w:r>
    </w:p>
    <w:p>
      <w:pPr>
        <w:pStyle w:val="4"/>
      </w:pPr>
      <w:bookmarkStart w:id="290" w:name="_Toc109750580"/>
      <w:bookmarkStart w:id="291" w:name="_Toc113616514"/>
      <w:r>
        <w:rPr>
          <w:rFonts w:hint="eastAsia"/>
        </w:rPr>
        <w:t>分系统调试</w:t>
      </w:r>
      <w:bookmarkEnd w:id="290"/>
      <w:r>
        <w:rPr>
          <w:rFonts w:hint="eastAsia"/>
        </w:rPr>
        <w:t>应满足下列规定：</w:t>
      </w:r>
      <w:bookmarkEnd w:id="291"/>
    </w:p>
    <w:p>
      <w:pPr>
        <w:pStyle w:val="51"/>
        <w:numPr>
          <w:ilvl w:val="0"/>
          <w:numId w:val="26"/>
        </w:numPr>
        <w:ind w:firstLineChars="0"/>
      </w:pPr>
      <w:r>
        <w:rPr>
          <w:rFonts w:hint="eastAsia"/>
        </w:rPr>
        <w:t>分系统调试应包括风力发电系统、光伏发电系统、储能系统以及智慧建筑直流能源系统等；</w:t>
      </w:r>
    </w:p>
    <w:p>
      <w:pPr>
        <w:pStyle w:val="51"/>
        <w:numPr>
          <w:ilvl w:val="0"/>
          <w:numId w:val="26"/>
        </w:numPr>
        <w:ind w:firstLineChars="0"/>
      </w:pPr>
      <w:r>
        <w:rPr>
          <w:rFonts w:hint="eastAsia"/>
        </w:rPr>
        <w:t>各分系统调试应符合国家规范的相关规定。</w:t>
      </w:r>
    </w:p>
    <w:p>
      <w:pPr>
        <w:pStyle w:val="51"/>
        <w:numPr>
          <w:ilvl w:val="0"/>
          <w:numId w:val="26"/>
        </w:numPr>
        <w:ind w:firstLineChars="0"/>
      </w:pPr>
      <w:r>
        <w:rPr>
          <w:rFonts w:hint="eastAsia"/>
        </w:rPr>
        <w:t>分系统调试应具备下列条件：</w:t>
      </w:r>
    </w:p>
    <w:p>
      <w:pPr>
        <w:pStyle w:val="51"/>
        <w:numPr>
          <w:ilvl w:val="1"/>
          <w:numId w:val="27"/>
        </w:numPr>
        <w:ind w:firstLineChars="0"/>
      </w:pPr>
      <w:r>
        <w:rPr>
          <w:rFonts w:hint="eastAsia"/>
        </w:rPr>
        <w:t>设备调试应完成且调试结果合格；</w:t>
      </w:r>
    </w:p>
    <w:p>
      <w:pPr>
        <w:pStyle w:val="51"/>
        <w:numPr>
          <w:ilvl w:val="1"/>
          <w:numId w:val="27"/>
        </w:numPr>
        <w:ind w:firstLineChars="0"/>
      </w:pPr>
      <w:r>
        <w:rPr>
          <w:rFonts w:hint="eastAsia"/>
        </w:rPr>
        <w:t>各监控系统硬件设备的数量、规格型号、参数应符合设计要求，现场软件测试供能应符合设计要求；</w:t>
      </w:r>
    </w:p>
    <w:p>
      <w:pPr>
        <w:pStyle w:val="51"/>
        <w:numPr>
          <w:ilvl w:val="1"/>
          <w:numId w:val="27"/>
        </w:numPr>
        <w:ind w:firstLineChars="0"/>
      </w:pPr>
      <w:r>
        <w:rPr>
          <w:rFonts w:hint="eastAsia"/>
        </w:rPr>
        <w:t>各分系统调试完成，且调试结果合格；</w:t>
      </w:r>
    </w:p>
    <w:p>
      <w:pPr>
        <w:pStyle w:val="51"/>
        <w:numPr>
          <w:ilvl w:val="1"/>
          <w:numId w:val="27"/>
        </w:numPr>
        <w:ind w:firstLineChars="0"/>
      </w:pPr>
      <w:r>
        <w:rPr>
          <w:rFonts w:hint="eastAsia"/>
        </w:rPr>
        <w:t>监控系统、被监控系统的设备通讯正常；</w:t>
      </w:r>
    </w:p>
    <w:p>
      <w:pPr>
        <w:pStyle w:val="51"/>
        <w:numPr>
          <w:ilvl w:val="1"/>
          <w:numId w:val="27"/>
        </w:numPr>
        <w:ind w:firstLineChars="0"/>
      </w:pPr>
      <w:r>
        <w:rPr>
          <w:rFonts w:hint="eastAsia"/>
        </w:rPr>
        <w:t>设备使用说明书、设计图纸、调试报告等技术资料应完整齐备。</w:t>
      </w:r>
    </w:p>
    <w:p>
      <w:pPr>
        <w:ind w:left="840"/>
      </w:pPr>
    </w:p>
    <w:p>
      <w:pPr>
        <w:pStyle w:val="4"/>
      </w:pPr>
      <w:bookmarkStart w:id="292" w:name="_Toc109750581"/>
      <w:bookmarkStart w:id="293" w:name="_Toc113616515"/>
      <w:r>
        <w:rPr>
          <w:rFonts w:hint="eastAsia"/>
        </w:rPr>
        <w:t>联合调试</w:t>
      </w:r>
      <w:bookmarkEnd w:id="292"/>
      <w:r>
        <w:rPr>
          <w:rFonts w:hint="eastAsia"/>
        </w:rPr>
        <w:t>应满足下列规定：</w:t>
      </w:r>
      <w:bookmarkEnd w:id="293"/>
    </w:p>
    <w:p>
      <w:pPr>
        <w:pStyle w:val="51"/>
        <w:numPr>
          <w:ilvl w:val="0"/>
          <w:numId w:val="28"/>
        </w:numPr>
        <w:ind w:firstLineChars="0"/>
      </w:pPr>
      <w:r>
        <w:rPr>
          <w:rFonts w:hint="eastAsia"/>
        </w:rPr>
        <w:t>风力发电系统、光伏发电系统、储能系统、智慧建筑直流能源系统以及智慧能源管理系统等通信应正常，实时性和准确性应符合国家和行业标准的相关规定；</w:t>
      </w:r>
    </w:p>
    <w:p>
      <w:pPr>
        <w:pStyle w:val="51"/>
        <w:numPr>
          <w:ilvl w:val="0"/>
          <w:numId w:val="28"/>
        </w:numPr>
        <w:ind w:firstLineChars="0"/>
      </w:pPr>
      <w:r>
        <w:rPr>
          <w:rFonts w:hint="eastAsia"/>
        </w:rPr>
        <w:t>建筑空调、充电桩等用能系统与直流电网柔性运行策略实现试运行。</w:t>
      </w:r>
    </w:p>
    <w:p>
      <w:pPr>
        <w:pStyle w:val="4"/>
        <w:rPr>
          <w:b/>
          <w:kern w:val="44"/>
          <w:szCs w:val="44"/>
        </w:rPr>
      </w:pPr>
      <w:r>
        <w:br w:type="page"/>
      </w:r>
    </w:p>
    <w:bookmarkEnd w:id="209"/>
    <w:p>
      <w:pPr>
        <w:pStyle w:val="2"/>
      </w:pPr>
      <w:bookmarkStart w:id="294" w:name="_Toc101903671"/>
      <w:bookmarkStart w:id="295" w:name="_Toc109724077"/>
      <w:bookmarkStart w:id="296" w:name="_Toc113637070"/>
      <w:bookmarkStart w:id="297" w:name="_Toc109750609"/>
      <w:r>
        <w:rPr>
          <w:rFonts w:hint="eastAsia"/>
        </w:rPr>
        <w:t>运行与</w:t>
      </w:r>
      <w:bookmarkEnd w:id="294"/>
      <w:bookmarkEnd w:id="295"/>
      <w:r>
        <w:rPr>
          <w:rFonts w:hint="eastAsia"/>
        </w:rPr>
        <w:t>管理</w:t>
      </w:r>
      <w:bookmarkEnd w:id="296"/>
      <w:bookmarkEnd w:id="297"/>
    </w:p>
    <w:p>
      <w:pPr>
        <w:pStyle w:val="3"/>
        <w:jc w:val="center"/>
      </w:pPr>
      <w:bookmarkStart w:id="298" w:name="_Toc113637071"/>
      <w:bookmarkStart w:id="299" w:name="_Toc109724078"/>
      <w:r>
        <w:rPr>
          <w:rFonts w:hint="eastAsia"/>
        </w:rPr>
        <w:t>运行与维护</w:t>
      </w:r>
      <w:bookmarkEnd w:id="298"/>
    </w:p>
    <w:p>
      <w:pPr>
        <w:pStyle w:val="4"/>
      </w:pPr>
      <w:bookmarkStart w:id="300" w:name="_Toc113616518"/>
      <w:r>
        <w:rPr>
          <w:rFonts w:hint="eastAsia"/>
        </w:rPr>
        <w:t>新建、改（扩）建建筑运行维护应满足G</w:t>
      </w:r>
      <w:r>
        <w:t>B55015</w:t>
      </w:r>
      <w:r>
        <w:rPr>
          <w:rFonts w:hint="eastAsia"/>
        </w:rPr>
        <w:t>的相关要求。</w:t>
      </w:r>
    </w:p>
    <w:p>
      <w:pPr>
        <w:pStyle w:val="4"/>
      </w:pPr>
      <w:r>
        <w:rPr>
          <w:rFonts w:hint="eastAsia"/>
        </w:rPr>
        <w:t>微电网运行规程应</w:t>
      </w:r>
      <w:bookmarkStart w:id="301" w:name="OLE_LINK7"/>
      <w:r>
        <w:rPr>
          <w:rFonts w:hint="eastAsia"/>
        </w:rPr>
        <w:t>符合GB 26860</w:t>
      </w:r>
      <w:bookmarkEnd w:id="301"/>
      <w:r>
        <w:rPr>
          <w:rFonts w:hint="eastAsia"/>
        </w:rPr>
        <w:t>、GB 26859 的规定，结合现场实际制定安全规程和应急预案。并按照GB/T 33589 和电网调度机构的要求，在电网侧电压、频率异常时执行异常响应操作和微电网运行模式切换。</w:t>
      </w:r>
      <w:bookmarkEnd w:id="300"/>
    </w:p>
    <w:p>
      <w:pPr>
        <w:pStyle w:val="4"/>
      </w:pPr>
      <w:bookmarkStart w:id="302" w:name="_Toc113616519"/>
      <w:r>
        <w:rPr>
          <w:rFonts w:hint="eastAsia"/>
        </w:rPr>
        <w:t>应根据技术规程、电网运行情况、设备技术条件及电网调度机构要求，对继电保护及安全自动装置定值整定，校核涉网保护定值，并根据运行与维护规程，对所辖设备的定值进行定期检验，保护检验周期、项目及要求应满足DL/T 995 的要求。</w:t>
      </w:r>
      <w:bookmarkEnd w:id="302"/>
    </w:p>
    <w:p>
      <w:pPr>
        <w:pStyle w:val="4"/>
      </w:pPr>
      <w:bookmarkStart w:id="303" w:name="_Toc113616520"/>
      <w:r>
        <w:rPr>
          <w:rFonts w:hint="eastAsia"/>
        </w:rPr>
        <w:t>智慧建筑直流能源系统监控室需设置有值班人员或安排人员进行定期巡查或采用人机移动交互方式，对建筑能源系统进行实时监测，具备系统设备运行状态及故障报警，应急突发情况问题诊断和报告输出的功能。</w:t>
      </w:r>
      <w:bookmarkEnd w:id="303"/>
    </w:p>
    <w:p>
      <w:pPr>
        <w:pStyle w:val="4"/>
      </w:pPr>
      <w:bookmarkStart w:id="304" w:name="_Toc113616521"/>
      <w:r>
        <w:rPr>
          <w:rFonts w:hint="eastAsia"/>
        </w:rPr>
        <w:t>对能源系统设备运行寿命及维修保养进行数据记录，制定可靠的设备养护及清洁计划。</w:t>
      </w:r>
      <w:bookmarkEnd w:id="304"/>
    </w:p>
    <w:p/>
    <w:p>
      <w:pPr>
        <w:pStyle w:val="3"/>
        <w:jc w:val="center"/>
      </w:pPr>
      <w:bookmarkStart w:id="305" w:name="_Toc113637072"/>
      <w:r>
        <w:rPr>
          <w:rFonts w:hint="eastAsia"/>
        </w:rPr>
        <w:t>节能管理</w:t>
      </w:r>
      <w:bookmarkEnd w:id="305"/>
    </w:p>
    <w:p>
      <w:pPr>
        <w:pStyle w:val="4"/>
      </w:pPr>
      <w:bookmarkStart w:id="306" w:name="_Toc113616524"/>
      <w:r>
        <w:rPr>
          <w:rFonts w:hint="eastAsia"/>
        </w:rPr>
        <w:t>新建建筑能耗及碳排放强度应遵循G</w:t>
      </w:r>
      <w:r>
        <w:t>B55015</w:t>
      </w:r>
      <w:r>
        <w:rPr>
          <w:rFonts w:hint="eastAsia"/>
        </w:rPr>
        <w:t>的相关要求。</w:t>
      </w:r>
      <w:bookmarkEnd w:id="306"/>
    </w:p>
    <w:p>
      <w:pPr>
        <w:pStyle w:val="4"/>
      </w:pPr>
      <w:bookmarkStart w:id="307" w:name="_Toc113616525"/>
      <w:r>
        <w:rPr>
          <w:rFonts w:hint="eastAsia"/>
        </w:rPr>
        <w:t>微电网并网正常运行时，投入经济运行功率控制策略，在满足并网联络线功率指令和功率平衡约束同时，宜综合发电成本、系统损耗、储能充放电成本等因素，实现系统经济最大化运行。</w:t>
      </w:r>
      <w:bookmarkEnd w:id="307"/>
    </w:p>
    <w:p>
      <w:pPr>
        <w:pStyle w:val="4"/>
      </w:pPr>
      <w:bookmarkStart w:id="308" w:name="_Toc113616526"/>
      <w:r>
        <w:rPr>
          <w:rFonts w:hint="eastAsia"/>
        </w:rPr>
        <w:t>智慧建筑直流能源系统能根据室外气象、大数据分析等提供用能设备的柔性策略建议，降低用户用能成本。</w:t>
      </w:r>
      <w:bookmarkEnd w:id="308"/>
    </w:p>
    <w:p>
      <w:pPr>
        <w:pStyle w:val="4"/>
      </w:pPr>
      <w:r>
        <w:rPr>
          <w:rFonts w:hint="eastAsia"/>
        </w:rPr>
        <w:t>建筑能量计量器具应在校准有效期内，保证统计数据的真实性和准确性。</w:t>
      </w:r>
    </w:p>
    <w:p>
      <w:pPr>
        <w:pStyle w:val="4"/>
      </w:pPr>
      <w:bookmarkStart w:id="309" w:name="_Toc113616527"/>
      <w:r>
        <w:rPr>
          <w:rFonts w:hint="eastAsia"/>
        </w:rPr>
        <w:t>智慧能源监控系统应提供逐时能源生产及消费分类统计分析，并保存至少</w:t>
      </w:r>
      <w:r>
        <w:t>2</w:t>
      </w:r>
      <w:r>
        <w:rPr>
          <w:rFonts w:hint="eastAsia"/>
        </w:rPr>
        <w:t>年以上的完整的运行监测数据。</w:t>
      </w:r>
      <w:bookmarkEnd w:id="309"/>
    </w:p>
    <w:bookmarkEnd w:id="299"/>
    <w:p/>
    <w:p>
      <w:pPr>
        <w:widowControl/>
        <w:spacing w:line="240" w:lineRule="auto"/>
        <w:jc w:val="left"/>
      </w:pPr>
      <w:bookmarkStart w:id="310" w:name="_Toc109724079"/>
      <w:r>
        <w:br w:type="page"/>
      </w:r>
    </w:p>
    <w:bookmarkEnd w:id="310"/>
    <w:p>
      <w:pPr>
        <w:pStyle w:val="2"/>
        <w:numPr>
          <w:ilvl w:val="0"/>
          <w:numId w:val="0"/>
        </w:numPr>
      </w:pPr>
      <w:bookmarkStart w:id="311" w:name="_Toc113637073"/>
      <w:r>
        <w:rPr>
          <w:rFonts w:hint="eastAsia"/>
        </w:rPr>
        <w:t>附录A</w:t>
      </w:r>
      <w:r>
        <w:t xml:space="preserve">. </w:t>
      </w:r>
      <w:r>
        <w:rPr>
          <w:rFonts w:hint="eastAsia"/>
        </w:rPr>
        <w:t>柔性负荷优化分析方法</w:t>
      </w:r>
      <w:bookmarkEnd w:id="311"/>
    </w:p>
    <w:p>
      <w:pPr>
        <w:ind w:firstLine="480" w:firstLineChars="200"/>
      </w:pPr>
      <w:r>
        <w:rPr>
          <w:rFonts w:hint="eastAsia"/>
        </w:rPr>
        <w:t>本标准4</w:t>
      </w:r>
      <w:r>
        <w:t>.2.3</w:t>
      </w:r>
      <w:r>
        <w:rPr>
          <w:rFonts w:hint="eastAsia"/>
        </w:rPr>
        <w:t>条文所提建筑负荷计算时进行柔性负荷分析方法可参照下图所示，对建筑用能设备端的柔性负荷，按照可转移不可中断负荷、可转移可中断负荷、可消减负荷，结合市电分时电价，在满足用户使用需求和舒适度的前提下，将高峰电价时的用能设备调整到低电价时段运行，从而达到经济性最优的目标。</w:t>
      </w:r>
    </w:p>
    <w:p>
      <w:r>
        <w:drawing>
          <wp:inline distT="0" distB="0" distL="0" distR="0">
            <wp:extent cx="4857750" cy="45656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cstate="print">
                      <a:extLst>
                        <a:ext uri="{28A0092B-C50C-407E-A947-70E740481C1C}">
                          <a14:useLocalDpi xmlns:a14="http://schemas.microsoft.com/office/drawing/2010/main" val="0"/>
                        </a:ext>
                      </a:extLst>
                    </a:blip>
                    <a:srcRect l="3973" t="1065" r="3925" b="3196"/>
                    <a:stretch>
                      <a:fillRect/>
                    </a:stretch>
                  </pic:blipFill>
                  <pic:spPr>
                    <a:xfrm>
                      <a:off x="0" y="0"/>
                      <a:ext cx="4857750" cy="4565650"/>
                    </a:xfrm>
                    <a:prstGeom prst="rect">
                      <a:avLst/>
                    </a:prstGeom>
                    <a:noFill/>
                    <a:ln>
                      <a:noFill/>
                    </a:ln>
                  </pic:spPr>
                </pic:pic>
              </a:graphicData>
            </a:graphic>
          </wp:inline>
        </w:drawing>
      </w:r>
    </w:p>
    <w:p/>
    <w:p>
      <w:pPr>
        <w:widowControl/>
        <w:spacing w:line="240" w:lineRule="auto"/>
        <w:jc w:val="left"/>
        <w:rPr>
          <w:b/>
          <w:bCs/>
          <w:kern w:val="44"/>
          <w:sz w:val="28"/>
          <w:szCs w:val="44"/>
        </w:rPr>
      </w:pPr>
      <w:bookmarkStart w:id="312" w:name="_Toc109750610"/>
      <w:bookmarkStart w:id="313" w:name="OLE_LINK14"/>
      <w:bookmarkStart w:id="314" w:name="_Toc13821031"/>
      <w:bookmarkStart w:id="315" w:name="_Toc335119381"/>
      <w:bookmarkStart w:id="316" w:name="_Toc335119129"/>
      <w:bookmarkStart w:id="317" w:name="_Toc532730623"/>
      <w:bookmarkStart w:id="318" w:name="_Toc368167193"/>
      <w:r>
        <w:br w:type="page"/>
      </w:r>
    </w:p>
    <w:p>
      <w:pPr>
        <w:pStyle w:val="2"/>
        <w:numPr>
          <w:ilvl w:val="0"/>
          <w:numId w:val="0"/>
        </w:numPr>
      </w:pPr>
      <w:bookmarkStart w:id="319" w:name="_Toc113637074"/>
      <w:r>
        <w:rPr>
          <w:rFonts w:hint="eastAsia"/>
        </w:rPr>
        <w:t>附录B</w:t>
      </w:r>
      <w:r>
        <w:t>.</w:t>
      </w:r>
      <w:bookmarkEnd w:id="312"/>
      <w:r>
        <w:t xml:space="preserve"> </w:t>
      </w:r>
      <w:r>
        <w:rPr>
          <w:rFonts w:hint="eastAsia"/>
        </w:rPr>
        <w:t>单极和双极供电系统</w:t>
      </w:r>
      <w:bookmarkEnd w:id="319"/>
    </w:p>
    <w:bookmarkEnd w:id="313"/>
    <w:p>
      <w:pPr>
        <w:ind w:firstLine="420"/>
        <w:rPr>
          <w:szCs w:val="21"/>
        </w:rPr>
      </w:pPr>
      <w:r>
        <w:rPr>
          <w:rFonts w:hint="eastAsia"/>
        </w:rPr>
        <w:t>本标准4</w:t>
      </w:r>
      <w:r>
        <w:t>.4.7</w:t>
      </w:r>
      <w:r>
        <w:rPr>
          <w:rFonts w:hint="eastAsia"/>
        </w:rPr>
        <w:t>条文所述</w:t>
      </w:r>
      <w:r>
        <w:rPr>
          <w:rFonts w:hint="eastAsia"/>
          <w:szCs w:val="21"/>
        </w:rPr>
        <w:t>直流系统有单极和双极供电供电结构，对一般建筑需求宜选择单级供电，对于供电可靠性要求高的场景，宜采用双极供电。</w:t>
      </w:r>
    </w:p>
    <w:p>
      <w:pPr>
        <w:jc w:val="center"/>
      </w:pPr>
      <w:r>
        <w:drawing>
          <wp:inline distT="0" distB="0" distL="0" distR="0">
            <wp:extent cx="5274310" cy="1500505"/>
            <wp:effectExtent l="0" t="0" r="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274310" cy="1500505"/>
                    </a:xfrm>
                    <a:prstGeom prst="rect">
                      <a:avLst/>
                    </a:prstGeom>
                    <a:noFill/>
                    <a:ln>
                      <a:noFill/>
                    </a:ln>
                  </pic:spPr>
                </pic:pic>
              </a:graphicData>
            </a:graphic>
          </wp:inline>
        </w:drawing>
      </w:r>
    </w:p>
    <w:p>
      <w:pPr>
        <w:jc w:val="center"/>
      </w:pPr>
      <w:r>
        <w:rPr>
          <w:rFonts w:hint="eastAsia"/>
        </w:rPr>
        <w:t>图</w:t>
      </w:r>
      <w:r>
        <w:t xml:space="preserve">C.1 </w:t>
      </w:r>
      <w:r>
        <w:rPr>
          <w:rFonts w:hint="eastAsia"/>
        </w:rPr>
        <w:t>单极供电系统</w:t>
      </w:r>
    </w:p>
    <w:p>
      <w:pPr>
        <w:jc w:val="center"/>
      </w:pPr>
      <w:r>
        <w:drawing>
          <wp:inline distT="0" distB="0" distL="0" distR="0">
            <wp:extent cx="5274310" cy="16014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274310" cy="1601470"/>
                    </a:xfrm>
                    <a:prstGeom prst="rect">
                      <a:avLst/>
                    </a:prstGeom>
                    <a:noFill/>
                    <a:ln>
                      <a:noFill/>
                    </a:ln>
                  </pic:spPr>
                </pic:pic>
              </a:graphicData>
            </a:graphic>
          </wp:inline>
        </w:drawing>
      </w:r>
    </w:p>
    <w:p>
      <w:pPr>
        <w:jc w:val="center"/>
      </w:pPr>
      <w:r>
        <w:rPr>
          <w:rFonts w:hint="eastAsia"/>
        </w:rPr>
        <w:t>图</w:t>
      </w:r>
      <w:r>
        <w:t xml:space="preserve">C.2 </w:t>
      </w:r>
      <w:r>
        <w:rPr>
          <w:rFonts w:hint="eastAsia"/>
        </w:rPr>
        <w:t>双极供电系统</w:t>
      </w:r>
    </w:p>
    <w:p>
      <w:pPr>
        <w:ind w:firstLine="480" w:firstLineChars="200"/>
      </w:pPr>
      <w:r>
        <w:rPr>
          <w:rFonts w:hint="eastAsia"/>
        </w:rPr>
        <w:t>所示供电结构指由交直流转换电源、直流转换器、直流负载等经直流母线连接形式，如图</w:t>
      </w:r>
      <w:r>
        <w:t>B.1</w:t>
      </w:r>
      <w:r>
        <w:rPr>
          <w:rFonts w:hint="eastAsia"/>
        </w:rPr>
        <w:t>为单极性供电系统，图</w:t>
      </w:r>
      <w:r>
        <w:t>B.2</w:t>
      </w:r>
      <w:r>
        <w:rPr>
          <w:rFonts w:hint="eastAsia"/>
        </w:rPr>
        <w:t>为双极性供电系统。单极性供电系统中DC</w:t>
      </w:r>
      <w:r>
        <w:t xml:space="preserve"> </w:t>
      </w:r>
      <w:r>
        <w:rPr>
          <w:rFonts w:hint="eastAsia"/>
        </w:rPr>
        <w:t>bus</w:t>
      </w:r>
      <w:r>
        <w:t>1</w:t>
      </w:r>
      <w:r>
        <w:rPr>
          <w:rFonts w:hint="eastAsia"/>
        </w:rPr>
        <w:t>为第一级母线，电压等级可选为7</w:t>
      </w:r>
      <w:r>
        <w:t>50</w:t>
      </w:r>
      <w:r>
        <w:rPr>
          <w:rFonts w:hint="eastAsia"/>
        </w:rPr>
        <w:t>V，为大功率直流负载供电，如充电桩、中央空调等；bus</w:t>
      </w:r>
      <w:r>
        <w:t>2</w:t>
      </w:r>
      <w:r>
        <w:rPr>
          <w:rFonts w:hint="eastAsia"/>
        </w:rPr>
        <w:t>为第二级母线，电压等级可选为3</w:t>
      </w:r>
      <w:r>
        <w:t>75</w:t>
      </w:r>
      <w:r>
        <w:rPr>
          <w:rFonts w:hint="eastAsia"/>
        </w:rPr>
        <w:t>V，为大功率负载供电，如中央空调、风冷热泵系统等；bus</w:t>
      </w:r>
      <w:r>
        <w:t>3</w:t>
      </w:r>
      <w:r>
        <w:rPr>
          <w:rFonts w:hint="eastAsia"/>
        </w:rPr>
        <w:t>为第三级母线，电压等级可选为4</w:t>
      </w:r>
      <w:r>
        <w:t>8</w:t>
      </w:r>
      <w:r>
        <w:rPr>
          <w:rFonts w:hint="eastAsia"/>
        </w:rPr>
        <w:t>V，为小功率负载供电，如电脑、照明、插座等。</w:t>
      </w:r>
    </w:p>
    <w:p>
      <w:pPr>
        <w:jc w:val="center"/>
      </w:pPr>
      <w:r>
        <w:drawing>
          <wp:inline distT="0" distB="0" distL="0" distR="0">
            <wp:extent cx="5274310" cy="3268980"/>
            <wp:effectExtent l="0" t="0" r="254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5274310" cy="3268980"/>
                    </a:xfrm>
                    <a:prstGeom prst="rect">
                      <a:avLst/>
                    </a:prstGeom>
                    <a:noFill/>
                    <a:ln>
                      <a:noFill/>
                    </a:ln>
                  </pic:spPr>
                </pic:pic>
              </a:graphicData>
            </a:graphic>
          </wp:inline>
        </w:drawing>
      </w:r>
    </w:p>
    <w:p>
      <w:pPr>
        <w:jc w:val="center"/>
      </w:pPr>
      <w:r>
        <w:rPr>
          <w:rFonts w:hint="eastAsia"/>
        </w:rPr>
        <w:t>图B</w:t>
      </w:r>
      <w:r>
        <w:t xml:space="preserve">.1 </w:t>
      </w:r>
      <w:r>
        <w:rPr>
          <w:rFonts w:hint="eastAsia"/>
        </w:rPr>
        <w:t>单极供电系统架构图</w:t>
      </w:r>
    </w:p>
    <w:p>
      <w:r>
        <w:tab/>
      </w:r>
      <w:r>
        <w:rPr>
          <w:rFonts w:hint="eastAsia"/>
        </w:rPr>
        <w:t>双极性供电系统如图B</w:t>
      </w:r>
      <w:r>
        <w:t>.</w:t>
      </w:r>
      <w:r>
        <w:rPr>
          <w:rFonts w:hint="eastAsia"/>
        </w:rPr>
        <w:t>2所示，A</w:t>
      </w:r>
      <w:r>
        <w:t>C/DC</w:t>
      </w:r>
      <w:r>
        <w:rPr>
          <w:rFonts w:hint="eastAsia"/>
        </w:rPr>
        <w:t>电源输出为正负电压，组成一级母线，电压等级可选为±3</w:t>
      </w:r>
      <w:r>
        <w:t>75</w:t>
      </w:r>
      <w:r>
        <w:rPr>
          <w:rFonts w:hint="eastAsia"/>
        </w:rPr>
        <w:t>V，电源、储能和大功率负载连接至正负母线之间。DC</w:t>
      </w:r>
      <w:r>
        <w:t xml:space="preserve"> bus2</w:t>
      </w:r>
      <w:r>
        <w:rPr>
          <w:rFonts w:hint="eastAsia"/>
        </w:rPr>
        <w:t>为低压母线，为小功率负载供电。双极性系统要求AC/DC电源具备正负母线功率平衡功能。</w:t>
      </w:r>
    </w:p>
    <w:p>
      <w:r>
        <w:tab/>
      </w:r>
      <w:r>
        <w:rPr>
          <w:rFonts w:hint="eastAsia"/>
        </w:rPr>
        <w:t>系统中如有交流负载，可连接至AC</w:t>
      </w:r>
      <w:r>
        <w:t>/DC</w:t>
      </w:r>
      <w:r>
        <w:rPr>
          <w:rFonts w:hint="eastAsia"/>
        </w:rPr>
        <w:t>交流输入侧。</w:t>
      </w:r>
    </w:p>
    <w:p>
      <w:pPr>
        <w:jc w:val="center"/>
      </w:pPr>
      <w:r>
        <w:drawing>
          <wp:inline distT="0" distB="0" distL="0" distR="0">
            <wp:extent cx="5274310" cy="282003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274310" cy="2820035"/>
                    </a:xfrm>
                    <a:prstGeom prst="rect">
                      <a:avLst/>
                    </a:prstGeom>
                    <a:noFill/>
                    <a:ln>
                      <a:noFill/>
                    </a:ln>
                  </pic:spPr>
                </pic:pic>
              </a:graphicData>
            </a:graphic>
          </wp:inline>
        </w:drawing>
      </w:r>
    </w:p>
    <w:p>
      <w:pPr>
        <w:jc w:val="center"/>
      </w:pPr>
      <w:r>
        <w:rPr>
          <w:rFonts w:hint="eastAsia"/>
        </w:rPr>
        <w:t>图B</w:t>
      </w:r>
      <w:r>
        <w:t>.</w:t>
      </w:r>
      <w:r>
        <w:rPr>
          <w:rFonts w:hint="eastAsia"/>
        </w:rPr>
        <w:t>2</w:t>
      </w:r>
      <w:r>
        <w:t xml:space="preserve"> </w:t>
      </w:r>
      <w:r>
        <w:rPr>
          <w:rFonts w:hint="eastAsia"/>
        </w:rPr>
        <w:t>双极系统供电架构图</w:t>
      </w:r>
    </w:p>
    <w:p>
      <w:pPr>
        <w:ind w:firstLine="480" w:firstLineChars="200"/>
      </w:pPr>
      <w:r>
        <w:rPr>
          <w:rFonts w:hint="eastAsia"/>
        </w:rPr>
        <w:t>对于需要并/离网切换的场景，需要增加并离网切换开关K，A</w:t>
      </w:r>
      <w:r>
        <w:t>C/DC</w:t>
      </w:r>
      <w:r>
        <w:rPr>
          <w:rFonts w:hint="eastAsia"/>
        </w:rPr>
        <w:t>电源需要具备并离网切换功能，且满足并离网切换时间要求。</w:t>
      </w:r>
    </w:p>
    <w:p>
      <w:pPr>
        <w:pStyle w:val="2"/>
        <w:numPr>
          <w:ilvl w:val="0"/>
          <w:numId w:val="0"/>
        </w:numPr>
      </w:pPr>
      <w:bookmarkStart w:id="320" w:name="_Toc113637075"/>
      <w:r>
        <w:rPr>
          <w:rFonts w:hint="eastAsia"/>
        </w:rPr>
        <w:t>附录</w:t>
      </w:r>
      <w:r>
        <w:t xml:space="preserve">C. </w:t>
      </w:r>
      <w:r>
        <w:rPr>
          <w:rFonts w:hint="eastAsia"/>
        </w:rPr>
        <w:t>低压直流配电系统的标称电压</w:t>
      </w:r>
      <w:bookmarkEnd w:id="320"/>
    </w:p>
    <w:p>
      <w:pPr>
        <w:pStyle w:val="51"/>
        <w:ind w:left="1200" w:firstLine="480"/>
      </w:pPr>
      <w:r>
        <w:rPr>
          <w:rFonts w:hint="eastAsia"/>
        </w:rPr>
        <w:t xml:space="preserve">表1 低压直流配电系统的标称电压 </w:t>
      </w:r>
      <w:r>
        <w:t xml:space="preserve">                   </w:t>
      </w:r>
      <w:r>
        <w:rPr>
          <w:rFonts w:hint="eastAsia"/>
        </w:rPr>
        <w:t>单位：V</w:t>
      </w:r>
    </w:p>
    <w:tbl>
      <w:tblPr>
        <w:tblStyle w:val="22"/>
        <w:tblW w:w="3930" w:type="pct"/>
        <w:tblInd w:w="8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2"/>
        <w:gridCol w:w="33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r>
              <w:rPr>
                <w:rFonts w:hint="eastAsia"/>
                <w:szCs w:val="21"/>
              </w:rPr>
              <w:t>优选值</w:t>
            </w:r>
          </w:p>
        </w:tc>
        <w:tc>
          <w:tcPr>
            <w:tcW w:w="2468" w:type="pct"/>
            <w:shd w:val="clear" w:color="auto" w:fill="auto"/>
            <w:vAlign w:val="center"/>
          </w:tcPr>
          <w:p>
            <w:pPr>
              <w:adjustRightInd w:val="0"/>
              <w:snapToGrid w:val="0"/>
              <w:spacing w:line="400" w:lineRule="exact"/>
              <w:jc w:val="center"/>
              <w:rPr>
                <w:szCs w:val="21"/>
              </w:rPr>
            </w:pPr>
            <w:r>
              <w:rPr>
                <w:rFonts w:hint="eastAsia"/>
                <w:szCs w:val="21"/>
              </w:rPr>
              <w:t>备选值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r>
              <w:rPr>
                <w:rFonts w:hint="eastAsia"/>
                <w:szCs w:val="21"/>
              </w:rPr>
              <w:t>1</w:t>
            </w:r>
            <w:r>
              <w:rPr>
                <w:szCs w:val="21"/>
              </w:rPr>
              <w:t>500(</w:t>
            </w:r>
            <w:r>
              <w:rPr>
                <w:rFonts w:hint="eastAsia"/>
                <w:szCs w:val="21"/>
              </w:rPr>
              <w:t>±</w:t>
            </w:r>
            <w:r>
              <w:rPr>
                <w:szCs w:val="21"/>
              </w:rPr>
              <w:t>750</w:t>
            </w:r>
            <w:r>
              <w:rPr>
                <w:rFonts w:hint="eastAsia"/>
                <w:szCs w:val="21"/>
              </w:rPr>
              <w:t>)</w:t>
            </w:r>
          </w:p>
        </w:tc>
        <w:tc>
          <w:tcPr>
            <w:tcW w:w="2468" w:type="pct"/>
            <w:shd w:val="clear" w:color="auto" w:fill="auto"/>
            <w:vAlign w:val="center"/>
          </w:tcPr>
          <w:p>
            <w:pPr>
              <w:adjustRightInd w:val="0"/>
              <w:snapToGrid w:val="0"/>
              <w:spacing w:line="4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1</w:t>
            </w:r>
            <w:r>
              <w:rPr>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r>
              <w:rPr>
                <w:rFonts w:hint="eastAsia"/>
                <w:szCs w:val="21"/>
              </w:rPr>
              <w:t>7</w:t>
            </w:r>
            <w:r>
              <w:rPr>
                <w:szCs w:val="21"/>
              </w:rPr>
              <w:t>50(</w:t>
            </w:r>
            <w:r>
              <w:rPr>
                <w:rFonts w:hint="eastAsia"/>
                <w:szCs w:val="21"/>
              </w:rPr>
              <w:t>±</w:t>
            </w:r>
            <w:r>
              <w:rPr>
                <w:szCs w:val="21"/>
              </w:rPr>
              <w:t>375)</w:t>
            </w:r>
          </w:p>
        </w:tc>
        <w:tc>
          <w:tcPr>
            <w:tcW w:w="2468" w:type="pct"/>
            <w:shd w:val="clear" w:color="auto" w:fill="auto"/>
            <w:vAlign w:val="center"/>
          </w:tcPr>
          <w:p>
            <w:pPr>
              <w:adjustRightInd w:val="0"/>
              <w:snapToGrid w:val="0"/>
              <w:spacing w:line="4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6</w:t>
            </w:r>
            <w:r>
              <w:rPr>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4</w:t>
            </w: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4</w:t>
            </w:r>
            <w:r>
              <w:rPr>
                <w:szCs w:val="21"/>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r>
              <w:rPr>
                <w:rFonts w:hint="eastAsia"/>
                <w:szCs w:val="21"/>
              </w:rPr>
              <w:t>3</w:t>
            </w:r>
            <w:r>
              <w:rPr>
                <w:szCs w:val="21"/>
              </w:rPr>
              <w:t>75</w:t>
            </w:r>
          </w:p>
        </w:tc>
        <w:tc>
          <w:tcPr>
            <w:tcW w:w="2468" w:type="pct"/>
            <w:shd w:val="clear" w:color="auto" w:fill="auto"/>
            <w:vAlign w:val="center"/>
          </w:tcPr>
          <w:p>
            <w:pPr>
              <w:adjustRightInd w:val="0"/>
              <w:snapToGrid w:val="0"/>
              <w:spacing w:line="4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3</w:t>
            </w:r>
            <w:r>
              <w:rPr>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2</w:t>
            </w:r>
            <w:r>
              <w:rPr>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r>
              <w:rPr>
                <w:rFonts w:hint="eastAsia"/>
                <w:szCs w:val="21"/>
              </w:rPr>
              <w:t>2</w:t>
            </w:r>
            <w:r>
              <w:rPr>
                <w:szCs w:val="21"/>
              </w:rPr>
              <w:t>20(</w:t>
            </w:r>
            <w:r>
              <w:rPr>
                <w:rFonts w:hint="eastAsia"/>
                <w:szCs w:val="21"/>
              </w:rPr>
              <w:t>±</w:t>
            </w:r>
            <w:r>
              <w:rPr>
                <w:szCs w:val="21"/>
              </w:rPr>
              <w:t>110)</w:t>
            </w:r>
          </w:p>
        </w:tc>
        <w:tc>
          <w:tcPr>
            <w:tcW w:w="2468" w:type="pct"/>
            <w:shd w:val="clear" w:color="auto" w:fill="auto"/>
            <w:vAlign w:val="center"/>
          </w:tcPr>
          <w:p>
            <w:pPr>
              <w:adjustRightInd w:val="0"/>
              <w:snapToGrid w:val="0"/>
              <w:spacing w:line="4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1</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2" w:type="pct"/>
            <w:shd w:val="clear" w:color="auto" w:fill="auto"/>
            <w:vAlign w:val="center"/>
          </w:tcPr>
          <w:p>
            <w:pPr>
              <w:adjustRightInd w:val="0"/>
              <w:snapToGrid w:val="0"/>
              <w:spacing w:line="400" w:lineRule="exact"/>
              <w:jc w:val="center"/>
              <w:rPr>
                <w:szCs w:val="21"/>
              </w:rPr>
            </w:pPr>
            <w:r>
              <w:rPr>
                <w:rFonts w:hint="eastAsia"/>
                <w:szCs w:val="21"/>
              </w:rPr>
              <w:t>4</w:t>
            </w:r>
            <w:r>
              <w:rPr>
                <w:szCs w:val="21"/>
              </w:rPr>
              <w:t>8</w:t>
            </w:r>
          </w:p>
        </w:tc>
        <w:tc>
          <w:tcPr>
            <w:tcW w:w="2468" w:type="pct"/>
            <w:shd w:val="clear" w:color="auto" w:fill="auto"/>
            <w:vAlign w:val="center"/>
          </w:tcPr>
          <w:p>
            <w:pPr>
              <w:adjustRightInd w:val="0"/>
              <w:snapToGrid w:val="0"/>
              <w:spacing w:line="40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 w:hRule="atLeast"/>
        </w:trPr>
        <w:tc>
          <w:tcPr>
            <w:tcW w:w="2532" w:type="pct"/>
            <w:shd w:val="clear" w:color="auto" w:fill="auto"/>
            <w:vAlign w:val="center"/>
          </w:tcPr>
          <w:p>
            <w:pPr>
              <w:adjustRightInd w:val="0"/>
              <w:snapToGrid w:val="0"/>
              <w:spacing w:line="400" w:lineRule="exact"/>
              <w:jc w:val="center"/>
              <w:rPr>
                <w:szCs w:val="21"/>
              </w:rPr>
            </w:pPr>
          </w:p>
        </w:tc>
        <w:tc>
          <w:tcPr>
            <w:tcW w:w="2468" w:type="pct"/>
            <w:shd w:val="clear" w:color="auto" w:fill="auto"/>
            <w:vAlign w:val="center"/>
          </w:tcPr>
          <w:p>
            <w:pPr>
              <w:adjustRightInd w:val="0"/>
              <w:snapToGrid w:val="0"/>
              <w:spacing w:line="400" w:lineRule="exact"/>
              <w:jc w:val="center"/>
              <w:rPr>
                <w:szCs w:val="21"/>
              </w:rPr>
            </w:pPr>
            <w:r>
              <w:rPr>
                <w:rFonts w:hint="eastAsia"/>
                <w:szCs w:val="21"/>
              </w:rPr>
              <w:t>4</w:t>
            </w:r>
            <w:r>
              <w:rPr>
                <w:szCs w:val="21"/>
              </w:rPr>
              <w:t>0</w:t>
            </w:r>
          </w:p>
        </w:tc>
      </w:tr>
    </w:tbl>
    <w:p>
      <w:pPr>
        <w:widowControl/>
        <w:spacing w:line="240" w:lineRule="auto"/>
        <w:jc w:val="left"/>
      </w:pPr>
    </w:p>
    <w:p>
      <w:pPr>
        <w:widowControl/>
        <w:spacing w:line="240" w:lineRule="auto"/>
        <w:jc w:val="left"/>
      </w:pPr>
      <w:r>
        <w:br w:type="page"/>
      </w:r>
    </w:p>
    <w:p>
      <w:pPr>
        <w:widowControl/>
        <w:spacing w:line="240" w:lineRule="auto"/>
        <w:jc w:val="left"/>
      </w:pPr>
    </w:p>
    <w:p>
      <w:pPr>
        <w:pStyle w:val="2"/>
        <w:numPr>
          <w:ilvl w:val="0"/>
          <w:numId w:val="0"/>
        </w:numPr>
      </w:pPr>
      <w:bookmarkStart w:id="321" w:name="_Toc113637076"/>
      <w:r>
        <w:rPr>
          <w:rFonts w:hint="eastAsia"/>
        </w:rPr>
        <w:t>附录D</w:t>
      </w:r>
      <w:r>
        <w:t xml:space="preserve">. </w:t>
      </w:r>
      <w:r>
        <w:rPr>
          <w:rFonts w:hint="eastAsia"/>
        </w:rPr>
        <w:t>设备额定功率与接入电压</w:t>
      </w:r>
      <w:bookmarkEnd w:id="321"/>
    </w:p>
    <w:p>
      <w:pPr>
        <w:jc w:val="center"/>
      </w:pPr>
      <w:r>
        <w:rPr>
          <w:rFonts w:hint="eastAsia"/>
        </w:rPr>
        <w:t>表2</w:t>
      </w:r>
      <w:r>
        <w:t xml:space="preserve"> </w:t>
      </w:r>
      <w:r>
        <w:rPr>
          <w:rFonts w:hint="eastAsia"/>
        </w:rPr>
        <w:t>设备额定功率与接入电压</w:t>
      </w:r>
    </w:p>
    <w:tbl>
      <w:tblPr>
        <w:tblStyle w:val="23"/>
        <w:tblW w:w="0" w:type="auto"/>
        <w:tblInd w:w="8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410"/>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jc w:val="center"/>
            </w:pPr>
            <w:r>
              <w:rPr>
                <w:rFonts w:hint="eastAsia"/>
              </w:rPr>
              <w:t>序号</w:t>
            </w:r>
          </w:p>
        </w:tc>
        <w:tc>
          <w:tcPr>
            <w:tcW w:w="2410" w:type="dxa"/>
            <w:vAlign w:val="center"/>
          </w:tcPr>
          <w:p>
            <w:pPr>
              <w:jc w:val="center"/>
            </w:pPr>
            <w:r>
              <w:rPr>
                <w:rFonts w:hint="eastAsia"/>
              </w:rPr>
              <w:t>设备额定功率</w:t>
            </w:r>
          </w:p>
        </w:tc>
        <w:tc>
          <w:tcPr>
            <w:tcW w:w="2693" w:type="dxa"/>
            <w:vAlign w:val="center"/>
          </w:tcPr>
          <w:p>
            <w:pPr>
              <w:jc w:val="center"/>
            </w:pPr>
            <w:r>
              <w:rPr>
                <w:rFonts w:hint="eastAsia"/>
              </w:rPr>
              <w:t>直流母线电压等级</w:t>
            </w:r>
            <w: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jc w:val="center"/>
            </w:pPr>
            <w:r>
              <w:rPr>
                <w:rFonts w:hint="eastAsia"/>
              </w:rPr>
              <w:t>1</w:t>
            </w:r>
          </w:p>
        </w:tc>
        <w:tc>
          <w:tcPr>
            <w:tcW w:w="2410" w:type="dxa"/>
            <w:vAlign w:val="center"/>
          </w:tcPr>
          <w:p>
            <w:pPr>
              <w:jc w:val="center"/>
            </w:pPr>
            <w:r>
              <w:rPr>
                <w:rFonts w:hint="eastAsia"/>
              </w:rPr>
              <w:t>＞1</w:t>
            </w:r>
            <w:r>
              <w:t>5</w:t>
            </w:r>
            <w:r>
              <w:rPr>
                <w:rFonts w:hint="eastAsia"/>
              </w:rPr>
              <w:t>k</w:t>
            </w:r>
            <w:r>
              <w:t>W</w:t>
            </w:r>
          </w:p>
        </w:tc>
        <w:tc>
          <w:tcPr>
            <w:tcW w:w="2693" w:type="dxa"/>
            <w:vAlign w:val="center"/>
          </w:tcPr>
          <w:p>
            <w:pPr>
              <w:jc w:val="center"/>
            </w:pPr>
            <w:r>
              <w:t>750/1500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jc w:val="center"/>
            </w:pPr>
            <w:r>
              <w:rPr>
                <w:rFonts w:hint="eastAsia"/>
              </w:rPr>
              <w:t>2</w:t>
            </w:r>
          </w:p>
        </w:tc>
        <w:tc>
          <w:tcPr>
            <w:tcW w:w="2410" w:type="dxa"/>
            <w:vAlign w:val="center"/>
          </w:tcPr>
          <w:p>
            <w:pPr>
              <w:jc w:val="center"/>
            </w:pPr>
            <w:r>
              <w:rPr>
                <w:rFonts w:hint="eastAsia"/>
              </w:rPr>
              <w:t>≤1</w:t>
            </w:r>
            <w:r>
              <w:t>5</w:t>
            </w:r>
            <w:r>
              <w:rPr>
                <w:rFonts w:hint="eastAsia"/>
              </w:rPr>
              <w:t>kW且＞5</w:t>
            </w:r>
            <w:r>
              <w:t>00W</w:t>
            </w:r>
          </w:p>
        </w:tc>
        <w:tc>
          <w:tcPr>
            <w:tcW w:w="2693" w:type="dxa"/>
            <w:vAlign w:val="center"/>
          </w:tcPr>
          <w:p>
            <w:pPr>
              <w:jc w:val="center"/>
            </w:pPr>
            <w:r>
              <w:t>375/220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vAlign w:val="center"/>
          </w:tcPr>
          <w:p>
            <w:pPr>
              <w:jc w:val="center"/>
            </w:pPr>
            <w:r>
              <w:rPr>
                <w:rFonts w:hint="eastAsia"/>
              </w:rPr>
              <w:t>3</w:t>
            </w:r>
          </w:p>
        </w:tc>
        <w:tc>
          <w:tcPr>
            <w:tcW w:w="2410" w:type="dxa"/>
            <w:vAlign w:val="center"/>
          </w:tcPr>
          <w:p>
            <w:pPr>
              <w:jc w:val="center"/>
            </w:pPr>
            <w:r>
              <w:rPr>
                <w:rFonts w:hint="eastAsia"/>
              </w:rPr>
              <w:t>≤</w:t>
            </w:r>
            <w:r>
              <w:t>500</w:t>
            </w:r>
            <w:r>
              <w:rPr>
                <w:rFonts w:hint="eastAsia"/>
              </w:rPr>
              <w:t>W</w:t>
            </w:r>
          </w:p>
        </w:tc>
        <w:tc>
          <w:tcPr>
            <w:tcW w:w="2693" w:type="dxa"/>
            <w:vAlign w:val="center"/>
          </w:tcPr>
          <w:p>
            <w:pPr>
              <w:jc w:val="center"/>
            </w:pPr>
            <w:r>
              <w:t>48</w:t>
            </w:r>
          </w:p>
        </w:tc>
      </w:tr>
    </w:tbl>
    <w:p>
      <w:pPr>
        <w:widowControl/>
        <w:spacing w:line="240" w:lineRule="auto"/>
        <w:jc w:val="left"/>
      </w:pPr>
    </w:p>
    <w:p>
      <w:pPr>
        <w:widowControl/>
        <w:spacing w:line="240" w:lineRule="auto"/>
        <w:jc w:val="left"/>
        <w:rPr>
          <w:b/>
          <w:bCs/>
          <w:kern w:val="44"/>
          <w:sz w:val="28"/>
          <w:szCs w:val="44"/>
        </w:rPr>
      </w:pPr>
      <w:r>
        <w:br w:type="page"/>
      </w:r>
    </w:p>
    <w:p>
      <w:pPr>
        <w:widowControl/>
        <w:spacing w:line="240" w:lineRule="auto"/>
        <w:jc w:val="left"/>
      </w:pPr>
    </w:p>
    <w:p>
      <w:pPr>
        <w:pStyle w:val="2"/>
        <w:numPr>
          <w:ilvl w:val="0"/>
          <w:numId w:val="0"/>
        </w:numPr>
      </w:pPr>
      <w:r>
        <w:tab/>
      </w:r>
      <w:bookmarkStart w:id="322" w:name="_Toc113637077"/>
      <w:r>
        <w:rPr>
          <w:rFonts w:hint="eastAsia"/>
        </w:rPr>
        <w:t>附录</w:t>
      </w:r>
      <w:r>
        <w:t xml:space="preserve">E. </w:t>
      </w:r>
      <w:r>
        <w:rPr>
          <w:rFonts w:hint="eastAsia"/>
        </w:rPr>
        <w:t>直流电缆设计选型要求</w:t>
      </w:r>
      <w:bookmarkEnd w:id="322"/>
    </w:p>
    <w:p>
      <w:pPr>
        <w:ind w:right="960"/>
        <w:rPr>
          <w:rFonts w:cs="Times New Roman"/>
        </w:rPr>
      </w:pPr>
      <w:r>
        <w:rPr>
          <w:rFonts w:cs="Times New Roman"/>
        </w:rPr>
        <w:t xml:space="preserve">E.1.1 </w:t>
      </w:r>
      <w:r>
        <w:rPr>
          <w:rFonts w:hint="eastAsia" w:cs="Times New Roman"/>
        </w:rPr>
        <w:t>电缆截面应该按电缆长期允许载流量和回路允许电压降两个条件选择，并应按下列公式计算：</w:t>
      </w:r>
    </w:p>
    <w:p>
      <w:pPr>
        <w:pStyle w:val="69"/>
      </w:pPr>
      <w:r>
        <w:tab/>
      </w:r>
      <w:r>
        <w:rPr>
          <w:position w:val="-14"/>
        </w:rPr>
        <w:object>
          <v:shape id="_x0000_i1025" o:spt="75" type="#_x0000_t75" style="height:19.2pt;width:43.2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t xml:space="preserve"> </w:t>
      </w:r>
    </w:p>
    <w:p>
      <w:pPr>
        <w:pStyle w:val="69"/>
      </w:pPr>
      <w:r>
        <w:tab/>
      </w:r>
      <w:r>
        <w:rPr>
          <w:position w:val="-32"/>
        </w:rPr>
        <w:object>
          <v:shape id="_x0000_i1026" o:spt="75" type="#_x0000_t75" style="height:34.8pt;width:70.8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t xml:space="preserve"> </w:t>
      </w:r>
    </w:p>
    <w:p>
      <w:pPr>
        <w:ind w:right="960"/>
        <w:rPr>
          <w:rFonts w:cs="Times New Roman"/>
        </w:rPr>
      </w:pPr>
      <w:r>
        <w:rPr>
          <w:rFonts w:hint="eastAsia" w:cs="Times New Roman"/>
        </w:rPr>
        <w:t xml:space="preserve">式中： </w:t>
      </w:r>
    </w:p>
    <w:p>
      <w:pPr>
        <w:ind w:left="480" w:leftChars="200" w:right="960" w:rightChars="400"/>
        <w:rPr>
          <w:rFonts w:cs="Times New Roman"/>
        </w:rPr>
      </w:pPr>
      <w:r>
        <w:rPr>
          <w:rFonts w:cs="Times New Roman"/>
        </w:rPr>
        <w:t xml:space="preserve"> I</w:t>
      </w:r>
      <w:r>
        <w:rPr>
          <w:rFonts w:hint="eastAsia" w:cs="Times New Roman"/>
          <w:vertAlign w:val="subscript"/>
        </w:rPr>
        <w:t>p</w:t>
      </w:r>
      <w:r>
        <w:rPr>
          <w:rFonts w:cs="Times New Roman"/>
          <w:vertAlign w:val="subscript"/>
        </w:rPr>
        <w:t>c</w:t>
      </w:r>
      <w:r>
        <w:rPr>
          <w:rFonts w:hint="eastAsia" w:cs="Times New Roman"/>
        </w:rPr>
        <w:t>——电缆允许载流量（A）</w:t>
      </w:r>
    </w:p>
    <w:p>
      <w:pPr>
        <w:ind w:left="480" w:leftChars="200" w:right="960" w:rightChars="400"/>
        <w:rPr>
          <w:rFonts w:cs="Times New Roman"/>
        </w:rPr>
      </w:pPr>
      <w:r>
        <w:rPr>
          <w:rFonts w:cs="Times New Roman"/>
        </w:rPr>
        <w:t>I</w:t>
      </w:r>
      <w:r>
        <w:rPr>
          <w:rFonts w:hint="eastAsia" w:cs="Times New Roman"/>
          <w:vertAlign w:val="subscript"/>
        </w:rPr>
        <w:t>ca</w:t>
      </w:r>
      <w:r>
        <w:rPr>
          <w:rFonts w:cs="Times New Roman"/>
          <w:vertAlign w:val="subscript"/>
        </w:rPr>
        <w:t>1</w:t>
      </w:r>
      <w:r>
        <w:rPr>
          <w:rFonts w:hint="eastAsia" w:cs="Times New Roman"/>
        </w:rPr>
        <w:t>——回路长期工作计算电流（</w:t>
      </w:r>
      <w:r>
        <w:rPr>
          <w:rFonts w:cs="Times New Roman"/>
        </w:rPr>
        <w:t>A</w:t>
      </w:r>
      <w:r>
        <w:rPr>
          <w:rFonts w:hint="eastAsia" w:cs="Times New Roman"/>
        </w:rPr>
        <w:t>）</w:t>
      </w:r>
    </w:p>
    <w:p>
      <w:pPr>
        <w:ind w:left="480" w:leftChars="200" w:right="960" w:rightChars="400"/>
        <w:rPr>
          <w:rFonts w:cs="Times New Roman"/>
        </w:rPr>
      </w:pPr>
      <w:r>
        <w:rPr>
          <w:rFonts w:hint="eastAsia" w:cs="Times New Roman"/>
        </w:rPr>
        <w:t>S</w:t>
      </w:r>
      <w:r>
        <w:rPr>
          <w:rFonts w:hint="eastAsia" w:cs="Times New Roman"/>
          <w:vertAlign w:val="subscript"/>
        </w:rPr>
        <w:t>cac</w:t>
      </w:r>
      <w:r>
        <w:rPr>
          <w:rFonts w:hint="eastAsia" w:cs="Times New Roman"/>
        </w:rPr>
        <w:t>——电缆计算截面（mm</w:t>
      </w:r>
      <w:r>
        <w:rPr>
          <w:rFonts w:cs="Times New Roman"/>
          <w:vertAlign w:val="superscript"/>
        </w:rPr>
        <w:t>2</w:t>
      </w:r>
      <w:r>
        <w:rPr>
          <w:rFonts w:hint="eastAsia" w:cs="Times New Roman"/>
        </w:rPr>
        <w:t>）</w:t>
      </w:r>
    </w:p>
    <w:p>
      <w:pPr>
        <w:pStyle w:val="69"/>
        <w:ind w:left="480" w:leftChars="200" w:rightChars="400"/>
        <w:jc w:val="left"/>
      </w:pPr>
      <w:r>
        <w:rPr>
          <w:position w:val="-10"/>
        </w:rPr>
        <w:object>
          <v:shape id="_x0000_i1027" o:spt="75" type="#_x0000_t75" style="height:13.2pt;width:12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r>
        <w:t xml:space="preserve"> </w:t>
      </w:r>
      <w:r>
        <w:rPr>
          <w:rFonts w:hint="eastAsia"/>
        </w:rPr>
        <w:t>——电阻系数，铜导体</w:t>
      </w:r>
      <w:r>
        <w:rPr>
          <w:position w:val="-10"/>
        </w:rPr>
        <w:object>
          <v:shape id="_x0000_i1028" o:spt="75" type="#_x0000_t75" style="height:13.2pt;width:12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8">
            <o:LockedField>false</o:LockedField>
          </o:OLEObject>
        </w:object>
      </w:r>
      <w:r>
        <w:t>=0.0184</w:t>
      </w:r>
      <w:r>
        <w:rPr>
          <w:position w:val="-6"/>
        </w:rPr>
        <w:object>
          <v:shape id="_x0000_i1029" o:spt="75" type="#_x0000_t75" style="height:15.6pt;width:58.8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r>
        <w:t>,</w:t>
      </w:r>
      <w:r>
        <w:rPr>
          <w:rFonts w:hint="eastAsia"/>
        </w:rPr>
        <w:t>铝导体</w:t>
      </w:r>
      <w:r>
        <w:rPr>
          <w:position w:val="-10"/>
        </w:rPr>
        <w:object>
          <v:shape id="_x0000_i1030" o:spt="75" type="#_x0000_t75" style="height:13.2pt;width:12pt;" o:ole="t" filled="f" o:preferrelative="t" stroked="f" coordsize="21600,21600">
            <v:path/>
            <v:fill on="f" focussize="0,0"/>
            <v:stroke on="f" joinstyle="miter"/>
            <v:imagedata r:id="rId17" o:title=""/>
            <o:lock v:ext="edit" aspectratio="t"/>
            <w10:wrap type="none"/>
            <w10:anchorlock/>
          </v:shape>
          <o:OLEObject Type="Embed" ProgID="Equation.DSMT4" ShapeID="_x0000_i1030" DrawAspect="Content" ObjectID="_1468075730" r:id="rId21">
            <o:LockedField>false</o:LockedField>
          </o:OLEObject>
        </w:object>
      </w:r>
      <w:r>
        <w:t>=0.031</w:t>
      </w:r>
      <w:r>
        <w:rPr>
          <w:position w:val="-6"/>
        </w:rPr>
        <w:object>
          <v:shape id="_x0000_i1031" o:spt="75" type="#_x0000_t75" style="height:15.6pt;width:46.2pt;" o:ole="t" filled="f" o:preferrelative="t" stroked="f" coordsize="21600,21600">
            <v:path/>
            <v:fill on="f" focussize="0,0"/>
            <v:stroke on="f" joinstyle="miter"/>
            <v:imagedata r:id="rId20" o:title=""/>
            <o:lock v:ext="edit" aspectratio="t"/>
            <w10:wrap type="none"/>
            <w10:anchorlock/>
          </v:shape>
          <o:OLEObject Type="Embed" ProgID="Equation.DSMT4" ShapeID="_x0000_i1031" DrawAspect="Content" ObjectID="_1468075731" r:id="rId22">
            <o:LockedField>false</o:LockedField>
          </o:OLEObject>
        </w:object>
      </w:r>
      <w:r>
        <w:t xml:space="preserve"> </w:t>
      </w:r>
      <w:r>
        <w:rPr>
          <w:rFonts w:hint="eastAsia"/>
        </w:rPr>
        <w:t>；</w:t>
      </w:r>
    </w:p>
    <w:p>
      <w:r>
        <w:tab/>
      </w:r>
      <w:r>
        <w:t>L</w:t>
      </w:r>
      <w:r>
        <w:rPr>
          <w:rFonts w:hint="eastAsia"/>
        </w:rPr>
        <w:t>——电缆长度（m）;</w:t>
      </w:r>
    </w:p>
    <w:p>
      <w:pPr>
        <w:ind w:firstLine="420"/>
        <w:rPr>
          <w:rFonts w:cs="Times New Roman"/>
        </w:rPr>
      </w:pPr>
      <w:r>
        <w:rPr>
          <w:rFonts w:cs="Times New Roman"/>
        </w:rPr>
        <w:t>I</w:t>
      </w:r>
      <w:r>
        <w:rPr>
          <w:rFonts w:hint="eastAsia" w:cs="Times New Roman"/>
          <w:vertAlign w:val="subscript"/>
        </w:rPr>
        <w:t>ca</w:t>
      </w:r>
      <w:r>
        <w:rPr>
          <w:rFonts w:hint="eastAsia" w:cs="Times New Roman"/>
        </w:rPr>
        <w:t>——允许电压降计算电流（A）；</w:t>
      </w:r>
    </w:p>
    <w:p>
      <w:pPr>
        <w:ind w:firstLine="420"/>
      </w:pPr>
      <w:bookmarkStart w:id="323" w:name="MTBlankEqn"/>
      <w:r>
        <w:rPr>
          <w:position w:val="-14"/>
        </w:rPr>
        <w:object>
          <v:shape id="_x0000_i1032" o:spt="75" type="#_x0000_t75" style="height:19.2pt;width:25.2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bookmarkEnd w:id="323"/>
      <w:r>
        <w:rPr>
          <w:rFonts w:hint="eastAsia"/>
        </w:rPr>
        <w:t>——回路允许电压降（V）。</w:t>
      </w:r>
    </w:p>
    <w:p>
      <w:pPr>
        <w:pStyle w:val="69"/>
      </w:pPr>
      <w:r>
        <w:tab/>
      </w:r>
      <w:r>
        <w:rPr>
          <w:rFonts w:hint="eastAsia"/>
        </w:rPr>
        <w:t>其中允许电压降电流计算电流、回路允许电压降选取参见D</w:t>
      </w:r>
      <w:r>
        <w:t>L/T 5044</w:t>
      </w:r>
      <w:r>
        <w:rPr>
          <w:rFonts w:hint="eastAsia"/>
        </w:rPr>
        <w:t>附录E。部分电压及线路截面及其输送距离可参见E</w:t>
      </w:r>
      <w:r>
        <w:t>.1</w:t>
      </w:r>
      <w:r>
        <w:rPr>
          <w:rFonts w:hint="eastAsia"/>
        </w:rPr>
        <w:t>和E</w:t>
      </w:r>
      <w:r>
        <w:t>.2</w:t>
      </w:r>
      <w:r>
        <w:rPr>
          <w:rFonts w:hint="eastAsia"/>
        </w:rPr>
        <w:t>所示。</w:t>
      </w:r>
    </w:p>
    <w:p>
      <w:pPr>
        <w:jc w:val="right"/>
        <w:rPr>
          <w:rFonts w:cs="Times New Roman"/>
        </w:rPr>
      </w:pPr>
      <w:r>
        <w:rPr>
          <w:rFonts w:hint="eastAsia" w:cs="Times New Roman"/>
        </w:rPr>
        <w:t>表</w:t>
      </w:r>
      <w:r>
        <w:rPr>
          <w:rFonts w:cs="Times New Roman"/>
        </w:rPr>
        <w:t>E</w:t>
      </w:r>
      <w:r>
        <w:rPr>
          <w:rFonts w:hint="eastAsia" w:cs="Times New Roman"/>
        </w:rPr>
        <w:t>.</w:t>
      </w:r>
      <w:r>
        <w:rPr>
          <w:rFonts w:cs="Times New Roman"/>
        </w:rPr>
        <w:t xml:space="preserve">1 </w:t>
      </w:r>
      <w:r>
        <w:rPr>
          <w:rFonts w:hint="eastAsia" w:cs="Times New Roman"/>
        </w:rPr>
        <w:t xml:space="preserve">架空直流线路典型截面负荷距 </w:t>
      </w:r>
      <w:r>
        <w:rPr>
          <w:rFonts w:cs="Times New Roman"/>
        </w:rPr>
        <w:t xml:space="preserve">              </w:t>
      </w:r>
      <w:r>
        <w:rPr>
          <w:rFonts w:hint="eastAsia" w:cs="Times New Roman"/>
        </w:rPr>
        <w:t>单位：k</w:t>
      </w:r>
      <w:r>
        <w:rPr>
          <w:rFonts w:cs="Times New Roman"/>
        </w:rPr>
        <w:t>W/m</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0"/>
        <w:gridCol w:w="1456"/>
        <w:gridCol w:w="1602"/>
        <w:gridCol w:w="1747"/>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vMerge w:val="restart"/>
          </w:tcPr>
          <w:p>
            <w:pPr>
              <w:rPr>
                <w:rFonts w:cs="Times New Roman"/>
              </w:rPr>
            </w:pPr>
            <w:r>
              <w:rPr>
                <w:rFonts w:hint="eastAsia" w:cs="Times New Roman"/>
              </w:rPr>
              <w:t>标称截面</w:t>
            </w:r>
            <w:r>
              <w:rPr>
                <w:rFonts w:cs="Times New Roman"/>
              </w:rPr>
              <w:t>/mm</w:t>
            </w:r>
            <w:r>
              <w:rPr>
                <w:rFonts w:cs="Times New Roman"/>
                <w:vertAlign w:val="superscript"/>
              </w:rPr>
              <w:t>2</w:t>
            </w:r>
          </w:p>
        </w:tc>
        <w:tc>
          <w:tcPr>
            <w:tcW w:w="3721" w:type="pct"/>
            <w:gridSpan w:val="4"/>
          </w:tcPr>
          <w:p>
            <w:pPr>
              <w:jc w:val="center"/>
              <w:rPr>
                <w:rFonts w:cs="Times New Roman"/>
              </w:rPr>
            </w:pPr>
            <w:r>
              <w:rPr>
                <w:rFonts w:hint="eastAsia" w:cs="Times New Roman"/>
              </w:rPr>
              <w:t>电压等级</w:t>
            </w:r>
            <w:r>
              <w:rPr>
                <w:rFonts w:cs="Times New Roman"/>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9" w:type="pct"/>
            <w:vMerge w:val="continue"/>
          </w:tcPr>
          <w:p>
            <w:pPr>
              <w:rPr>
                <w:rFonts w:cs="Times New Roman"/>
              </w:rPr>
            </w:pPr>
          </w:p>
        </w:tc>
        <w:tc>
          <w:tcPr>
            <w:tcW w:w="854" w:type="pct"/>
          </w:tcPr>
          <w:p>
            <w:pPr>
              <w:rPr>
                <w:rFonts w:cs="Times New Roman"/>
              </w:rPr>
            </w:pPr>
            <w:r>
              <w:rPr>
                <w:rFonts w:cs="Times New Roman"/>
              </w:rPr>
              <w:t>750(</w:t>
            </w:r>
            <w:r>
              <w:rPr>
                <w:rFonts w:hint="eastAsia" w:cs="Times New Roman"/>
              </w:rPr>
              <w:t>±</w:t>
            </w:r>
            <w:r>
              <w:rPr>
                <w:rFonts w:cs="Times New Roman"/>
              </w:rPr>
              <w:t>375)</w:t>
            </w:r>
          </w:p>
        </w:tc>
        <w:tc>
          <w:tcPr>
            <w:tcW w:w="940" w:type="pct"/>
          </w:tcPr>
          <w:p>
            <w:pPr>
              <w:rPr>
                <w:rFonts w:cs="Times New Roman"/>
              </w:rPr>
            </w:pPr>
            <w:r>
              <w:rPr>
                <w:rFonts w:cs="Times New Roman"/>
              </w:rPr>
              <w:t>220(</w:t>
            </w:r>
            <w:r>
              <w:rPr>
                <w:rFonts w:hint="eastAsia" w:cs="Times New Roman"/>
              </w:rPr>
              <w:t>±</w:t>
            </w:r>
            <w:r>
              <w:rPr>
                <w:rFonts w:cs="Times New Roman"/>
              </w:rPr>
              <w:t>110)</w:t>
            </w:r>
          </w:p>
        </w:tc>
        <w:tc>
          <w:tcPr>
            <w:tcW w:w="1025" w:type="pct"/>
          </w:tcPr>
          <w:p>
            <w:pPr>
              <w:rPr>
                <w:rFonts w:cs="Times New Roman"/>
              </w:rPr>
            </w:pPr>
            <w:r>
              <w:rPr>
                <w:rFonts w:cs="Times New Roman"/>
              </w:rPr>
              <w:t>750(</w:t>
            </w:r>
            <w:r>
              <w:rPr>
                <w:rFonts w:hint="eastAsia" w:cs="Times New Roman"/>
              </w:rPr>
              <w:t>±</w:t>
            </w:r>
            <w:r>
              <w:rPr>
                <w:rFonts w:cs="Times New Roman"/>
              </w:rPr>
              <w:t>375)</w:t>
            </w:r>
          </w:p>
        </w:tc>
        <w:tc>
          <w:tcPr>
            <w:tcW w:w="902" w:type="pct"/>
          </w:tcPr>
          <w:p>
            <w:pPr>
              <w:rPr>
                <w:rFonts w:cs="Times New Roman"/>
              </w:rPr>
            </w:pPr>
            <w:r>
              <w:rPr>
                <w:rFonts w:cs="Times New Roman"/>
              </w:rPr>
              <w:t>220(</w:t>
            </w:r>
            <w:r>
              <w:rPr>
                <w:rFonts w:hint="eastAsia" w:cs="Times New Roman"/>
              </w:rPr>
              <w:t>±</w:t>
            </w:r>
            <w:r>
              <w:rPr>
                <w:rFonts w:cs="Times New Roma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9" w:type="pct"/>
            <w:vMerge w:val="continue"/>
          </w:tcPr>
          <w:p>
            <w:pPr>
              <w:rPr>
                <w:rFonts w:cs="Times New Roman"/>
              </w:rPr>
            </w:pPr>
          </w:p>
        </w:tc>
        <w:tc>
          <w:tcPr>
            <w:tcW w:w="1794" w:type="pct"/>
            <w:gridSpan w:val="2"/>
          </w:tcPr>
          <w:p>
            <w:pPr>
              <w:rPr>
                <w:rFonts w:cs="Times New Roman"/>
              </w:rPr>
            </w:pPr>
            <w:r>
              <w:rPr>
                <w:rFonts w:hint="eastAsia" w:cs="Times New Roman"/>
              </w:rPr>
              <w:t>电压偏差</w:t>
            </w:r>
            <w:r>
              <w:rPr>
                <w:rFonts w:cs="Times New Roman"/>
              </w:rPr>
              <w:t>10%</w:t>
            </w:r>
          </w:p>
        </w:tc>
        <w:tc>
          <w:tcPr>
            <w:tcW w:w="1927" w:type="pct"/>
            <w:gridSpan w:val="2"/>
          </w:tcPr>
          <w:p>
            <w:pPr>
              <w:rPr>
                <w:rFonts w:cs="Times New Roman"/>
              </w:rPr>
            </w:pPr>
            <w:r>
              <w:rPr>
                <w:rFonts w:hint="eastAsia" w:cs="Times New Roman"/>
              </w:rPr>
              <w:t>电压偏差</w:t>
            </w:r>
            <w:r>
              <w:rPr>
                <w:rFonts w:cs="Times New Roma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tcPr>
          <w:p>
            <w:pPr>
              <w:rPr>
                <w:rFonts w:cs="Times New Roman"/>
              </w:rPr>
            </w:pPr>
            <w:r>
              <w:rPr>
                <w:rFonts w:cs="Times New Roman"/>
              </w:rPr>
              <w:t>95</w:t>
            </w:r>
          </w:p>
        </w:tc>
        <w:tc>
          <w:tcPr>
            <w:tcW w:w="854" w:type="pct"/>
          </w:tcPr>
          <w:p>
            <w:pPr>
              <w:rPr>
                <w:rFonts w:cs="Times New Roman"/>
              </w:rPr>
            </w:pPr>
            <w:r>
              <w:rPr>
                <w:rFonts w:cs="Times New Roman"/>
              </w:rPr>
              <w:t>77</w:t>
            </w:r>
          </w:p>
        </w:tc>
        <w:tc>
          <w:tcPr>
            <w:tcW w:w="940" w:type="pct"/>
          </w:tcPr>
          <w:p>
            <w:pPr>
              <w:rPr>
                <w:rFonts w:cs="Times New Roman"/>
              </w:rPr>
            </w:pPr>
            <w:r>
              <w:rPr>
                <w:rFonts w:cs="Times New Roman"/>
              </w:rPr>
              <w:t>7</w:t>
            </w:r>
          </w:p>
        </w:tc>
        <w:tc>
          <w:tcPr>
            <w:tcW w:w="1025" w:type="pct"/>
          </w:tcPr>
          <w:p>
            <w:pPr>
              <w:rPr>
                <w:rFonts w:cs="Times New Roman"/>
              </w:rPr>
            </w:pPr>
            <w:r>
              <w:rPr>
                <w:rFonts w:cs="Times New Roman"/>
              </w:rPr>
              <w:t>154</w:t>
            </w:r>
          </w:p>
        </w:tc>
        <w:tc>
          <w:tcPr>
            <w:tcW w:w="902" w:type="pct"/>
          </w:tcPr>
          <w:p>
            <w:pPr>
              <w:rPr>
                <w:rFonts w:cs="Times New Roman"/>
              </w:rPr>
            </w:pPr>
            <w:r>
              <w:rPr>
                <w:rFonts w:cs="Times New Roma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tcPr>
          <w:p>
            <w:pPr>
              <w:rPr>
                <w:rFonts w:cs="Times New Roman"/>
              </w:rPr>
            </w:pPr>
            <w:r>
              <w:rPr>
                <w:rFonts w:cs="Times New Roman"/>
              </w:rPr>
              <w:t>120</w:t>
            </w:r>
          </w:p>
        </w:tc>
        <w:tc>
          <w:tcPr>
            <w:tcW w:w="854" w:type="pct"/>
          </w:tcPr>
          <w:p>
            <w:pPr>
              <w:rPr>
                <w:rFonts w:cs="Times New Roman"/>
              </w:rPr>
            </w:pPr>
            <w:r>
              <w:rPr>
                <w:rFonts w:cs="Times New Roman"/>
              </w:rPr>
              <w:t>98</w:t>
            </w:r>
          </w:p>
        </w:tc>
        <w:tc>
          <w:tcPr>
            <w:tcW w:w="940" w:type="pct"/>
          </w:tcPr>
          <w:p>
            <w:pPr>
              <w:rPr>
                <w:rFonts w:cs="Times New Roman"/>
              </w:rPr>
            </w:pPr>
            <w:r>
              <w:rPr>
                <w:rFonts w:cs="Times New Roman"/>
              </w:rPr>
              <w:t>8</w:t>
            </w:r>
          </w:p>
        </w:tc>
        <w:tc>
          <w:tcPr>
            <w:tcW w:w="1025" w:type="pct"/>
          </w:tcPr>
          <w:p>
            <w:pPr>
              <w:rPr>
                <w:rFonts w:cs="Times New Roman"/>
              </w:rPr>
            </w:pPr>
            <w:r>
              <w:rPr>
                <w:rFonts w:cs="Times New Roman"/>
              </w:rPr>
              <w:t>195</w:t>
            </w:r>
          </w:p>
        </w:tc>
        <w:tc>
          <w:tcPr>
            <w:tcW w:w="902" w:type="pct"/>
          </w:tcPr>
          <w:p>
            <w:pPr>
              <w:rPr>
                <w:rFonts w:cs="Times New Roman"/>
              </w:rPr>
            </w:pPr>
            <w:r>
              <w:rPr>
                <w:rFonts w:cs="Times New Roma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tcPr>
          <w:p>
            <w:pPr>
              <w:rPr>
                <w:rFonts w:cs="Times New Roman"/>
              </w:rPr>
            </w:pPr>
            <w:r>
              <w:rPr>
                <w:rFonts w:cs="Times New Roman"/>
              </w:rPr>
              <w:t>150</w:t>
            </w:r>
          </w:p>
        </w:tc>
        <w:tc>
          <w:tcPr>
            <w:tcW w:w="854" w:type="pct"/>
          </w:tcPr>
          <w:p>
            <w:pPr>
              <w:rPr>
                <w:rFonts w:cs="Times New Roman"/>
              </w:rPr>
            </w:pPr>
            <w:r>
              <w:rPr>
                <w:rFonts w:cs="Times New Roman"/>
              </w:rPr>
              <w:t>119</w:t>
            </w:r>
          </w:p>
        </w:tc>
        <w:tc>
          <w:tcPr>
            <w:tcW w:w="940" w:type="pct"/>
          </w:tcPr>
          <w:p>
            <w:pPr>
              <w:rPr>
                <w:rFonts w:cs="Times New Roman"/>
              </w:rPr>
            </w:pPr>
            <w:r>
              <w:rPr>
                <w:rFonts w:cs="Times New Roman"/>
              </w:rPr>
              <w:t>10</w:t>
            </w:r>
          </w:p>
        </w:tc>
        <w:tc>
          <w:tcPr>
            <w:tcW w:w="1025" w:type="pct"/>
          </w:tcPr>
          <w:p>
            <w:pPr>
              <w:rPr>
                <w:rFonts w:cs="Times New Roman"/>
              </w:rPr>
            </w:pPr>
            <w:r>
              <w:rPr>
                <w:rFonts w:cs="Times New Roman"/>
              </w:rPr>
              <w:t>238</w:t>
            </w:r>
          </w:p>
        </w:tc>
        <w:tc>
          <w:tcPr>
            <w:tcW w:w="902" w:type="pct"/>
          </w:tcPr>
          <w:p>
            <w:pPr>
              <w:rPr>
                <w:rFonts w:cs="Times New Roman"/>
              </w:rPr>
            </w:pPr>
            <w:r>
              <w:rPr>
                <w:rFonts w:cs="Times New Roma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9" w:type="pct"/>
          </w:tcPr>
          <w:p>
            <w:pPr>
              <w:rPr>
                <w:rFonts w:cs="Times New Roman"/>
              </w:rPr>
            </w:pPr>
            <w:r>
              <w:rPr>
                <w:rFonts w:cs="Times New Roman"/>
              </w:rPr>
              <w:t>185</w:t>
            </w:r>
          </w:p>
        </w:tc>
        <w:tc>
          <w:tcPr>
            <w:tcW w:w="854" w:type="pct"/>
          </w:tcPr>
          <w:p>
            <w:pPr>
              <w:rPr>
                <w:rFonts w:cs="Times New Roman"/>
              </w:rPr>
            </w:pPr>
            <w:r>
              <w:rPr>
                <w:rFonts w:cs="Times New Roman"/>
              </w:rPr>
              <w:t>147</w:t>
            </w:r>
          </w:p>
        </w:tc>
        <w:tc>
          <w:tcPr>
            <w:tcW w:w="940" w:type="pct"/>
          </w:tcPr>
          <w:p>
            <w:pPr>
              <w:rPr>
                <w:rFonts w:cs="Times New Roman"/>
              </w:rPr>
            </w:pPr>
            <w:r>
              <w:rPr>
                <w:rFonts w:cs="Times New Roman"/>
              </w:rPr>
              <w:t>13</w:t>
            </w:r>
          </w:p>
        </w:tc>
        <w:tc>
          <w:tcPr>
            <w:tcW w:w="1025" w:type="pct"/>
          </w:tcPr>
          <w:p>
            <w:pPr>
              <w:rPr>
                <w:rFonts w:cs="Times New Roman"/>
              </w:rPr>
            </w:pPr>
            <w:r>
              <w:rPr>
                <w:rFonts w:cs="Times New Roman"/>
              </w:rPr>
              <w:t>294</w:t>
            </w:r>
          </w:p>
        </w:tc>
        <w:tc>
          <w:tcPr>
            <w:tcW w:w="902" w:type="pct"/>
          </w:tcPr>
          <w:p>
            <w:pPr>
              <w:rPr>
                <w:rFonts w:cs="Times New Roman"/>
              </w:rPr>
            </w:pPr>
            <w:r>
              <w:rPr>
                <w:rFonts w:cs="Times New Roma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5"/>
          </w:tcPr>
          <w:p>
            <w:pPr>
              <w:rPr>
                <w:rFonts w:cs="Times New Roman"/>
              </w:rPr>
            </w:pPr>
            <w:r>
              <w:rPr>
                <w:rFonts w:hint="eastAsia" w:cs="Times New Roman"/>
              </w:rPr>
              <w:t>注：在计算时</w:t>
            </w:r>
            <w:r>
              <w:rPr>
                <w:rFonts w:cs="Times New Roman"/>
              </w:rPr>
              <w:t>750(</w:t>
            </w:r>
            <w:r>
              <w:rPr>
                <w:rFonts w:hint="eastAsia" w:cs="Times New Roman"/>
              </w:rPr>
              <w:t>±</w:t>
            </w:r>
            <w:r>
              <w:rPr>
                <w:rFonts w:cs="Times New Roman"/>
              </w:rPr>
              <w:t>375)V</w:t>
            </w:r>
            <w:r>
              <w:rPr>
                <w:rFonts w:hint="eastAsia" w:cs="Times New Roman"/>
              </w:rPr>
              <w:t>、</w:t>
            </w:r>
            <w:r>
              <w:rPr>
                <w:rFonts w:cs="Times New Roman"/>
              </w:rPr>
              <w:t>220(</w:t>
            </w:r>
            <w:r>
              <w:rPr>
                <w:rFonts w:hint="eastAsia" w:cs="Times New Roman"/>
              </w:rPr>
              <w:t>±</w:t>
            </w:r>
            <w:r>
              <w:rPr>
                <w:rFonts w:cs="Times New Roman"/>
              </w:rPr>
              <w:t>110)V</w:t>
            </w:r>
            <w:r>
              <w:rPr>
                <w:rFonts w:hint="eastAsia" w:cs="Times New Roman"/>
              </w:rPr>
              <w:t>架空线选择铝绞线</w:t>
            </w:r>
          </w:p>
        </w:tc>
      </w:tr>
    </w:tbl>
    <w:p>
      <w:pPr>
        <w:ind w:firstLine="420"/>
        <w:rPr>
          <w:rFonts w:cs="Times New Roman"/>
        </w:rPr>
      </w:pPr>
      <w:r>
        <w:rPr>
          <w:rFonts w:hint="eastAsia" w:cs="Times New Roman"/>
        </w:rPr>
        <w:t>对于直流系统，可利用如下公式计算电压降：</w:t>
      </w:r>
    </w:p>
    <w:p>
      <w:pPr>
        <w:rPr>
          <w:rFonts w:cs="Times New Roman"/>
        </w:rPr>
      </w:pPr>
      <m:oMathPara>
        <m:oMath>
          <m:sSub>
            <m:sSubPr>
              <m:ctrlPr>
                <w:rPr>
                  <w:rFonts w:ascii="Cambria Math" w:hAnsi="Cambria Math" w:cs="Times New Roman"/>
                  <w:i/>
                </w:rPr>
              </m:ctrlPr>
            </m:sSubPr>
            <m:e>
              <m:r>
                <m:rPr/>
                <w:rPr>
                  <w:rFonts w:ascii="Cambria Math" w:hAnsi="Cambria Math" w:cs="Times New Roman"/>
                </w:rPr>
                <m:t>∆U</m:t>
              </m:r>
              <m:ctrlPr>
                <w:rPr>
                  <w:rFonts w:ascii="Cambria Math" w:hAnsi="Cambria Math" w:cs="Times New Roman"/>
                  <w:i/>
                </w:rPr>
              </m:ctrlPr>
            </m:e>
            <m:sub>
              <m:r>
                <m:rPr/>
                <w:rPr>
                  <w:rFonts w:ascii="Cambria Math" w:hAnsi="Cambria Math" w:cs="Times New Roman"/>
                </w:rPr>
                <m:t>dc</m:t>
              </m:r>
              <m:ctrlPr>
                <w:rPr>
                  <w:rFonts w:ascii="Cambria Math" w:hAnsi="Cambria Math" w:cs="Times New Roman"/>
                  <w:i/>
                </w:rPr>
              </m:ctrlPr>
            </m:sub>
          </m:sSub>
          <m:r>
            <m:rPr>
              <m:sty m:val="p"/>
            </m:rPr>
            <w:rPr>
              <w:rFonts w:ascii="Cambria Math" w:hAnsi="Cambria Math" w:cs="Times New Roman"/>
            </w:rPr>
            <m:t>=</m:t>
          </m:r>
          <m:sSub>
            <m:sSubPr>
              <m:ctrlPr>
                <w:rPr>
                  <w:rFonts w:ascii="Cambria Math" w:hAnsi="Cambria Math" w:cs="Times New Roman"/>
                </w:rPr>
              </m:ctrlPr>
            </m:sSubPr>
            <m:e>
              <m:r>
                <m:rPr/>
                <w:rPr>
                  <w:rFonts w:ascii="Cambria Math" w:hAnsi="Cambria Math" w:cs="Times New Roman"/>
                </w:rPr>
                <m:t>I</m:t>
              </m:r>
              <m:ctrlPr>
                <w:rPr>
                  <w:rFonts w:ascii="Cambria Math" w:hAnsi="Cambria Math" w:cs="Times New Roman"/>
                </w:rPr>
              </m:ctrlPr>
            </m:e>
            <m:sub>
              <m:r>
                <m:rPr/>
                <w:rPr>
                  <w:rFonts w:ascii="Cambria Math" w:hAnsi="Cambria Math" w:cs="Times New Roman"/>
                </w:rPr>
                <m:t>dc</m:t>
              </m:r>
              <m:ctrlPr>
                <w:rPr>
                  <w:rFonts w:ascii="Cambria Math" w:hAnsi="Cambria Math" w:cs="Times New Roman"/>
                </w:rPr>
              </m:ctrlPr>
            </m:sub>
          </m:sSub>
          <m:r>
            <m:rPr>
              <m:sty m:val="p"/>
            </m:rPr>
            <w:rPr>
              <w:rFonts w:ascii="Cambria Math" w:hAnsi="Cambria Math" w:cs="Times New Roman"/>
            </w:rPr>
            <m:t>R</m:t>
          </m:r>
          <m:sSub>
            <m:sSubPr>
              <m:ctrlPr>
                <w:rPr>
                  <w:rFonts w:ascii="Cambria Math" w:hAnsi="Cambria Math" w:cs="Times New Roman"/>
                </w:rPr>
              </m:ctrlPr>
            </m:sSubPr>
            <m:e>
              <m:r>
                <m:rPr/>
                <w:rPr>
                  <w:rFonts w:ascii="Cambria Math" w:hAnsi="Cambria Math" w:cs="Times New Roman"/>
                </w:rPr>
                <m:t>L</m:t>
              </m:r>
              <m:ctrlPr>
                <w:rPr>
                  <w:rFonts w:ascii="Cambria Math" w:hAnsi="Cambria Math" w:cs="Times New Roman"/>
                </w:rPr>
              </m:ctrlPr>
            </m:e>
            <m:sub>
              <m:r>
                <m:rPr/>
                <w:rPr>
                  <w:rFonts w:ascii="Cambria Math" w:hAnsi="Cambria Math" w:cs="Times New Roman"/>
                </w:rPr>
                <m:t>dc</m:t>
              </m:r>
              <m:ctrlPr>
                <w:rPr>
                  <w:rFonts w:ascii="Cambria Math" w:hAnsi="Cambria Math" w:cs="Times New Roman"/>
                </w:rPr>
              </m:ctrlPr>
            </m:sub>
          </m:sSub>
        </m:oMath>
      </m:oMathPara>
    </w:p>
    <w:p>
      <w:pPr>
        <w:ind w:firstLine="480" w:firstLineChars="200"/>
        <w:rPr>
          <w:rFonts w:cs="Times New Roman"/>
        </w:rPr>
      </w:pPr>
      <w:r>
        <w:rPr>
          <w:rFonts w:hint="eastAsia" w:cs="Times New Roman"/>
        </w:rPr>
        <w:t>其中I</w:t>
      </w:r>
      <w:r>
        <w:rPr>
          <w:rFonts w:cs="Times New Roman"/>
          <w:vertAlign w:val="subscript"/>
        </w:rPr>
        <w:t>dc</w:t>
      </w:r>
      <w:r>
        <w:rPr>
          <w:rFonts w:hint="eastAsia" w:cs="Times New Roman"/>
        </w:rPr>
        <w:t>为负载电流，L</w:t>
      </w:r>
      <w:r>
        <w:rPr>
          <w:rFonts w:cs="Times New Roman"/>
          <w:vertAlign w:val="subscript"/>
        </w:rPr>
        <w:t>dc</w:t>
      </w:r>
      <w:r>
        <w:rPr>
          <w:rFonts w:hint="eastAsia" w:cs="Times New Roman"/>
        </w:rPr>
        <w:t>为导体长度，R为每km单根导线直流电阻。可利用上式计算出直流电压的典型传输距离。</w:t>
      </w:r>
    </w:p>
    <w:p>
      <w:pPr>
        <w:jc w:val="center"/>
        <w:rPr>
          <w:rFonts w:cs="Times New Roman"/>
        </w:rPr>
      </w:pPr>
      <w:r>
        <w:rPr>
          <w:rFonts w:hint="eastAsia" w:cs="Times New Roman"/>
        </w:rPr>
        <w:t>表</w:t>
      </w:r>
      <w:r>
        <w:rPr>
          <w:rFonts w:cs="Times New Roman"/>
        </w:rPr>
        <w:t>E</w:t>
      </w:r>
      <w:r>
        <w:rPr>
          <w:rFonts w:hint="eastAsia" w:cs="Times New Roman"/>
        </w:rPr>
        <w:t>.</w:t>
      </w:r>
      <w:r>
        <w:rPr>
          <w:rFonts w:cs="Times New Roman"/>
        </w:rPr>
        <w:t xml:space="preserve">2 </w:t>
      </w:r>
      <w:r>
        <w:rPr>
          <w:rFonts w:hint="eastAsia" w:cs="Times New Roman"/>
        </w:rPr>
        <w:t>典型直流电压等级和传输距离以及容量(按照1</w:t>
      </w:r>
      <w:r>
        <w:rPr>
          <w:rFonts w:cs="Times New Roman"/>
        </w:rPr>
        <w:t>0%</w:t>
      </w:r>
      <w:r>
        <w:rPr>
          <w:rFonts w:hint="eastAsia" w:cs="Times New Roman"/>
        </w:rPr>
        <w:t>线压降</w:t>
      </w:r>
      <w:r>
        <w:rPr>
          <w:rFonts w:cs="Times New Roman"/>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vMerge w:val="restart"/>
            <w:vAlign w:val="center"/>
          </w:tcPr>
          <w:p>
            <w:pPr>
              <w:jc w:val="center"/>
              <w:rPr>
                <w:rFonts w:cs="Times New Roman"/>
              </w:rPr>
            </w:pPr>
            <w:r>
              <w:rPr>
                <w:rFonts w:hint="eastAsia" w:cs="Times New Roman"/>
              </w:rPr>
              <w:t>类型</w:t>
            </w:r>
          </w:p>
        </w:tc>
        <w:tc>
          <w:tcPr>
            <w:tcW w:w="5531" w:type="dxa"/>
            <w:gridSpan w:val="2"/>
            <w:vAlign w:val="center"/>
          </w:tcPr>
          <w:p>
            <w:pPr>
              <w:jc w:val="center"/>
              <w:rPr>
                <w:rFonts w:cs="Times New Roman"/>
              </w:rPr>
            </w:pPr>
            <w:r>
              <w:rPr>
                <w:rFonts w:hint="eastAsia" w:cs="Times New Roman"/>
              </w:rPr>
              <w:t>电压等级</w:t>
            </w:r>
            <w:r>
              <w:rPr>
                <w:rFonts w:cs="Times New Roman"/>
              </w:rPr>
              <w:t>(kV)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vMerge w:val="continue"/>
            <w:vAlign w:val="center"/>
          </w:tcPr>
          <w:p>
            <w:pPr>
              <w:jc w:val="center"/>
              <w:rPr>
                <w:rFonts w:cs="Times New Roman"/>
              </w:rPr>
            </w:pPr>
          </w:p>
        </w:tc>
        <w:tc>
          <w:tcPr>
            <w:tcW w:w="2765" w:type="dxa"/>
            <w:vAlign w:val="center"/>
          </w:tcPr>
          <w:p>
            <w:pPr>
              <w:jc w:val="center"/>
              <w:rPr>
                <w:rFonts w:cs="Times New Roman"/>
              </w:rPr>
            </w:pPr>
            <w:r>
              <w:rPr>
                <w:rFonts w:cs="Times New Roman"/>
              </w:rPr>
              <w:t>0.75</w:t>
            </w:r>
          </w:p>
        </w:tc>
        <w:tc>
          <w:tcPr>
            <w:tcW w:w="2766" w:type="dxa"/>
            <w:vAlign w:val="center"/>
          </w:tcPr>
          <w:p>
            <w:pPr>
              <w:jc w:val="center"/>
              <w:rPr>
                <w:rFonts w:cs="Times New Roman"/>
              </w:rPr>
            </w:pPr>
            <w:r>
              <w:rPr>
                <w:rFonts w:cs="Times New Roma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vAlign w:val="center"/>
          </w:tcPr>
          <w:p>
            <w:pPr>
              <w:jc w:val="center"/>
              <w:rPr>
                <w:rFonts w:cs="Times New Roman"/>
              </w:rPr>
            </w:pPr>
            <w:r>
              <w:rPr>
                <w:rFonts w:hint="eastAsia" w:cs="Times New Roman"/>
              </w:rPr>
              <w:t>输送距离</w:t>
            </w:r>
            <w:r>
              <w:rPr>
                <w:rFonts w:cs="Times New Roman"/>
              </w:rPr>
              <w:t>(km)</w:t>
            </w:r>
          </w:p>
        </w:tc>
        <w:tc>
          <w:tcPr>
            <w:tcW w:w="2765" w:type="dxa"/>
            <w:vAlign w:val="center"/>
          </w:tcPr>
          <w:p>
            <w:pPr>
              <w:jc w:val="center"/>
              <w:rPr>
                <w:rFonts w:cs="Times New Roman"/>
              </w:rPr>
            </w:pPr>
            <w:r>
              <w:rPr>
                <w:rFonts w:cs="Times New Roman"/>
              </w:rPr>
              <w:t>1.21</w:t>
            </w:r>
          </w:p>
        </w:tc>
        <w:tc>
          <w:tcPr>
            <w:tcW w:w="2766" w:type="dxa"/>
            <w:vAlign w:val="center"/>
          </w:tcPr>
          <w:p>
            <w:pPr>
              <w:jc w:val="center"/>
              <w:rPr>
                <w:rFonts w:cs="Times New Roman"/>
              </w:rPr>
            </w:pPr>
            <w:r>
              <w:rPr>
                <w:rFonts w:cs="Times New Roman"/>
              </w:rPr>
              <w:t>0.63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65" w:type="dxa"/>
            <w:vAlign w:val="center"/>
          </w:tcPr>
          <w:p>
            <w:pPr>
              <w:jc w:val="center"/>
              <w:rPr>
                <w:rFonts w:cs="Times New Roman"/>
              </w:rPr>
            </w:pPr>
            <w:r>
              <w:rPr>
                <w:rFonts w:hint="eastAsia" w:cs="Times New Roman"/>
              </w:rPr>
              <w:t>输送容量</w:t>
            </w:r>
            <w:r>
              <w:rPr>
                <w:rFonts w:cs="Times New Roman"/>
              </w:rPr>
              <w:t>(MW)</w:t>
            </w:r>
          </w:p>
        </w:tc>
        <w:tc>
          <w:tcPr>
            <w:tcW w:w="2765" w:type="dxa"/>
            <w:vAlign w:val="center"/>
          </w:tcPr>
          <w:p>
            <w:pPr>
              <w:jc w:val="center"/>
              <w:rPr>
                <w:rFonts w:cs="Times New Roman"/>
              </w:rPr>
            </w:pPr>
            <w:r>
              <w:rPr>
                <w:rFonts w:cs="Times New Roman"/>
              </w:rPr>
              <w:t>0.31</w:t>
            </w:r>
          </w:p>
        </w:tc>
        <w:tc>
          <w:tcPr>
            <w:tcW w:w="2766" w:type="dxa"/>
            <w:vAlign w:val="center"/>
          </w:tcPr>
          <w:p>
            <w:pPr>
              <w:jc w:val="center"/>
              <w:rPr>
                <w:rFonts w:cs="Times New Roman"/>
              </w:rPr>
            </w:pPr>
            <w:r>
              <w:rPr>
                <w:rFonts w:cs="Times New Roman"/>
              </w:rPr>
              <w:t>0.3</w:t>
            </w:r>
          </w:p>
        </w:tc>
      </w:tr>
    </w:tbl>
    <w:p>
      <w:pPr>
        <w:rPr>
          <w:rFonts w:cs="Times New Roman"/>
        </w:rPr>
      </w:pPr>
      <w:r>
        <w:rPr>
          <w:rFonts w:hint="eastAsia" w:cs="Times New Roman"/>
        </w:rPr>
        <w:t>姜世公，吴志力等，《直流配电电压等级及负荷距分析》。</w:t>
      </w:r>
    </w:p>
    <w:p>
      <w:pPr>
        <w:rPr>
          <w:b/>
          <w:bCs/>
        </w:rPr>
      </w:pPr>
    </w:p>
    <w:p>
      <w:pPr>
        <w:rPr>
          <w:b/>
          <w:bCs/>
        </w:rPr>
      </w:pPr>
    </w:p>
    <w:p>
      <w:pPr>
        <w:rPr>
          <w:b/>
          <w:bCs/>
        </w:rPr>
        <w:sectPr>
          <w:pgSz w:w="11906" w:h="16838"/>
          <w:pgMar w:top="1440" w:right="1800" w:bottom="1440" w:left="1800" w:header="851" w:footer="992" w:gutter="0"/>
          <w:cols w:space="425" w:num="1"/>
          <w:docGrid w:type="lines" w:linePitch="312" w:charSpace="0"/>
        </w:sectPr>
      </w:pPr>
    </w:p>
    <w:p>
      <w:pPr>
        <w:pStyle w:val="2"/>
        <w:numPr>
          <w:ilvl w:val="0"/>
          <w:numId w:val="0"/>
        </w:numPr>
      </w:pPr>
      <w:bookmarkStart w:id="324" w:name="_Toc113637078"/>
      <w:bookmarkStart w:id="325" w:name="_Toc109750611"/>
      <w:r>
        <w:t>本标准用词说明</w:t>
      </w:r>
      <w:bookmarkEnd w:id="314"/>
      <w:bookmarkEnd w:id="315"/>
      <w:bookmarkEnd w:id="316"/>
      <w:bookmarkEnd w:id="317"/>
      <w:bookmarkEnd w:id="318"/>
      <w:bookmarkEnd w:id="324"/>
      <w:bookmarkEnd w:id="325"/>
    </w:p>
    <w:p>
      <w:r>
        <w:rPr>
          <w:rFonts w:hint="eastAsia"/>
        </w:rPr>
        <w:t>1</w:t>
      </w:r>
      <w:r>
        <w:t>为便于在执行本标准条文时区别对待，对要求严格程度不同的用词说明如下：</w:t>
      </w:r>
    </w:p>
    <w:p>
      <w:pPr>
        <w:pStyle w:val="51"/>
        <w:numPr>
          <w:ilvl w:val="0"/>
          <w:numId w:val="29"/>
        </w:numPr>
        <w:ind w:firstLineChars="0"/>
      </w:pPr>
      <w:r>
        <w:t>表示很严格，非这样做不可的用词：</w:t>
      </w:r>
    </w:p>
    <w:p>
      <w:pPr>
        <w:pStyle w:val="51"/>
        <w:ind w:left="840" w:firstLine="0" w:firstLineChars="0"/>
      </w:pPr>
      <w:r>
        <w:t>正面词采用“必须”，反面词采用“严禁”；</w:t>
      </w:r>
    </w:p>
    <w:p>
      <w:pPr>
        <w:pStyle w:val="51"/>
        <w:numPr>
          <w:ilvl w:val="0"/>
          <w:numId w:val="29"/>
        </w:numPr>
        <w:ind w:firstLineChars="0"/>
      </w:pPr>
      <w:r>
        <w:t>表示严格，在正常情况下均应这样做的用词</w:t>
      </w:r>
      <w:r>
        <w:rPr>
          <w:rFonts w:hint="eastAsia"/>
        </w:rPr>
        <w:t>：</w:t>
      </w:r>
    </w:p>
    <w:p>
      <w:pPr>
        <w:pStyle w:val="51"/>
        <w:ind w:left="840" w:firstLine="0" w:firstLineChars="0"/>
      </w:pPr>
      <w:r>
        <w:t>正面词采用“应”，反面词采用“不应”或“不得”；</w:t>
      </w:r>
    </w:p>
    <w:p>
      <w:pPr>
        <w:pStyle w:val="51"/>
        <w:numPr>
          <w:ilvl w:val="0"/>
          <w:numId w:val="29"/>
        </w:numPr>
        <w:ind w:firstLineChars="0"/>
      </w:pPr>
      <w:r>
        <w:t>表示允许稍有选择，在条件许可时首先应这样做的用词：</w:t>
      </w:r>
    </w:p>
    <w:p>
      <w:pPr>
        <w:pStyle w:val="51"/>
        <w:ind w:left="840" w:firstLine="0" w:firstLineChars="0"/>
      </w:pPr>
      <w:r>
        <w:t>正面词采用“宜”，反面词采用“不宜”；</w:t>
      </w:r>
    </w:p>
    <w:p>
      <w:r>
        <w:t xml:space="preserve">    4）表示有选择，在一定条件下可以这样做的用词，采用“可”。</w:t>
      </w:r>
    </w:p>
    <w:p>
      <w:pPr>
        <w:rPr>
          <w:szCs w:val="21"/>
        </w:rPr>
      </w:pPr>
      <w:r>
        <w:t>2 标准中指明应按其他有关标准执行的写法为：</w:t>
      </w:r>
      <w:r>
        <w:rPr>
          <w:rFonts w:hint="eastAsia"/>
        </w:rPr>
        <w:t>“</w:t>
      </w:r>
      <w:r>
        <w:t>应符合……的规定</w:t>
      </w:r>
      <w:r>
        <w:rPr>
          <w:rFonts w:hint="eastAsia"/>
        </w:rPr>
        <w:t>”</w:t>
      </w:r>
      <w:r>
        <w:t>或</w:t>
      </w:r>
      <w:r>
        <w:rPr>
          <w:rFonts w:hint="eastAsia"/>
        </w:rPr>
        <w:t>“</w:t>
      </w:r>
      <w:r>
        <w:t>应按……执行</w:t>
      </w:r>
      <w:r>
        <w:rPr>
          <w:rFonts w:hint="eastAsia"/>
        </w:rPr>
        <w:t>”</w:t>
      </w:r>
      <w:bookmarkStart w:id="326" w:name="_GoBack"/>
      <w:bookmarkEnd w:id="326"/>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icrosoft Yi Baiti">
    <w:panose1 w:val="03000500000000000000"/>
    <w:charset w:val="00"/>
    <w:family w:val="script"/>
    <w:pitch w:val="default"/>
    <w:sig w:usb0="80000003" w:usb1="00010402" w:usb2="00080002"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151E9D"/>
    <w:multiLevelType w:val="multilevel"/>
    <w:tmpl w:val="02151E9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6B86C76"/>
    <w:multiLevelType w:val="multilevel"/>
    <w:tmpl w:val="06B86C76"/>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
    <w:nsid w:val="10AC45BB"/>
    <w:multiLevelType w:val="multilevel"/>
    <w:tmpl w:val="10AC45BB"/>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
    <w:nsid w:val="22137923"/>
    <w:multiLevelType w:val="multilevel"/>
    <w:tmpl w:val="22137923"/>
    <w:lvl w:ilvl="0" w:tentative="0">
      <w:start w:val="1"/>
      <w:numFmt w:val="low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26CF0FF0"/>
    <w:multiLevelType w:val="multilevel"/>
    <w:tmpl w:val="26CF0FF0"/>
    <w:lvl w:ilvl="0" w:tentative="0">
      <w:start w:val="1"/>
      <w:numFmt w:val="low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28BA1298"/>
    <w:multiLevelType w:val="multilevel"/>
    <w:tmpl w:val="28BA1298"/>
    <w:lvl w:ilvl="0" w:tentative="0">
      <w:start w:val="1"/>
      <w:numFmt w:val="lowerLetter"/>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3359132F"/>
    <w:multiLevelType w:val="multilevel"/>
    <w:tmpl w:val="3359132F"/>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3D4C4812"/>
    <w:multiLevelType w:val="multilevel"/>
    <w:tmpl w:val="3D4C4812"/>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3ED66389"/>
    <w:multiLevelType w:val="multilevel"/>
    <w:tmpl w:val="3ED66389"/>
    <w:lvl w:ilvl="0" w:tentative="0">
      <w:start w:val="1"/>
      <w:numFmt w:val="low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9">
    <w:nsid w:val="405C4866"/>
    <w:multiLevelType w:val="multilevel"/>
    <w:tmpl w:val="405C4866"/>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0">
    <w:nsid w:val="4307187B"/>
    <w:multiLevelType w:val="multilevel"/>
    <w:tmpl w:val="4307187B"/>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1">
    <w:nsid w:val="438C231B"/>
    <w:multiLevelType w:val="multilevel"/>
    <w:tmpl w:val="438C231B"/>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44A944DE"/>
    <w:multiLevelType w:val="multilevel"/>
    <w:tmpl w:val="44A944DE"/>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45866F9A"/>
    <w:multiLevelType w:val="multilevel"/>
    <w:tmpl w:val="45866F9A"/>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49586C7A"/>
    <w:multiLevelType w:val="multilevel"/>
    <w:tmpl w:val="49586C7A"/>
    <w:lvl w:ilvl="0" w:tentative="0">
      <w:start w:val="1"/>
      <w:numFmt w:val="lowerLetter"/>
      <w:lvlText w:val="%1)"/>
      <w:lvlJc w:val="left"/>
      <w:pPr>
        <w:ind w:left="1068" w:hanging="360"/>
      </w:pPr>
      <w:rPr>
        <w:rFonts w:hint="default"/>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15">
    <w:nsid w:val="49C12FBC"/>
    <w:multiLevelType w:val="multilevel"/>
    <w:tmpl w:val="49C12FBC"/>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4A1A7D2C"/>
    <w:multiLevelType w:val="multilevel"/>
    <w:tmpl w:val="4A1A7D2C"/>
    <w:lvl w:ilvl="0" w:tentative="0">
      <w:start w:val="1"/>
      <w:numFmt w:val="low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7">
    <w:nsid w:val="4B623E28"/>
    <w:multiLevelType w:val="multilevel"/>
    <w:tmpl w:val="4B623E28"/>
    <w:lvl w:ilvl="0" w:tentative="0">
      <w:start w:val="1"/>
      <w:numFmt w:val="decimal"/>
      <w:pStyle w:val="2"/>
      <w:isLgl/>
      <w:lvlText w:val="%1"/>
      <w:lvlJc w:val="left"/>
      <w:pPr>
        <w:tabs>
          <w:tab w:val="left" w:pos="0"/>
        </w:tabs>
        <w:ind w:left="0" w:firstLine="0"/>
      </w:pPr>
      <w:rPr>
        <w:rFonts w:hint="eastAsia"/>
      </w:rPr>
    </w:lvl>
    <w:lvl w:ilvl="1" w:tentative="0">
      <w:start w:val="1"/>
      <w:numFmt w:val="decimal"/>
      <w:pStyle w:val="3"/>
      <w:isLgl/>
      <w:lvlText w:val="%1.%2"/>
      <w:lvlJc w:val="left"/>
      <w:pPr>
        <w:tabs>
          <w:tab w:val="left" w:pos="0"/>
        </w:tabs>
        <w:ind w:left="0" w:firstLine="0"/>
      </w:pPr>
      <w:rPr>
        <w:rFonts w:hint="eastAsia"/>
      </w:rPr>
    </w:lvl>
    <w:lvl w:ilvl="2" w:tentative="0">
      <w:start w:val="1"/>
      <w:numFmt w:val="decimal"/>
      <w:pStyle w:val="4"/>
      <w:isLgl/>
      <w:lvlText w:val="%1.%2.%3"/>
      <w:lvlJc w:val="left"/>
      <w:pPr>
        <w:ind w:left="141" w:firstLine="0"/>
      </w:pPr>
      <w:rPr>
        <w:rFonts w:hint="eastAsia"/>
      </w:rPr>
    </w:lvl>
    <w:lvl w:ilvl="3" w:tentative="0">
      <w:start w:val="1"/>
      <w:numFmt w:val="decimal"/>
      <w:pStyle w:val="5"/>
      <w:isLgl/>
      <w:lvlText w:val="%1.%2.%3.%4"/>
      <w:lvlJc w:val="left"/>
      <w:pPr>
        <w:ind w:left="0" w:firstLine="0"/>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8">
    <w:nsid w:val="4E537DAB"/>
    <w:multiLevelType w:val="multilevel"/>
    <w:tmpl w:val="4E537DAB"/>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4FC57644"/>
    <w:multiLevelType w:val="multilevel"/>
    <w:tmpl w:val="4FC57644"/>
    <w:lvl w:ilvl="0" w:tentative="0">
      <w:start w:val="1"/>
      <w:numFmt w:val="low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0">
    <w:nsid w:val="50324245"/>
    <w:multiLevelType w:val="multilevel"/>
    <w:tmpl w:val="50324245"/>
    <w:lvl w:ilvl="0" w:tentative="0">
      <w:start w:val="1"/>
      <w:numFmt w:val="decimal"/>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1">
    <w:nsid w:val="54B8562B"/>
    <w:multiLevelType w:val="multilevel"/>
    <w:tmpl w:val="54B8562B"/>
    <w:lvl w:ilvl="0" w:tentative="0">
      <w:start w:val="1"/>
      <w:numFmt w:val="lowerLetter"/>
      <w:lvlText w:val="%1)"/>
      <w:lvlJc w:val="left"/>
      <w:pPr>
        <w:ind w:left="927" w:hanging="360"/>
      </w:pPr>
      <w:rPr>
        <w:rFonts w:hint="default"/>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22">
    <w:nsid w:val="5C7259BE"/>
    <w:multiLevelType w:val="multilevel"/>
    <w:tmpl w:val="5C7259BE"/>
    <w:lvl w:ilvl="0" w:tentative="0">
      <w:start w:val="1"/>
      <w:numFmt w:val="low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3">
    <w:nsid w:val="62AA5BBE"/>
    <w:multiLevelType w:val="multilevel"/>
    <w:tmpl w:val="62AA5BBE"/>
    <w:lvl w:ilvl="0" w:tentative="0">
      <w:start w:val="1"/>
      <w:numFmt w:val="lowerLetter"/>
      <w:lvlText w:val="%1)"/>
      <w:lvlJc w:val="left"/>
      <w:pPr>
        <w:ind w:left="1200" w:hanging="36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4">
    <w:nsid w:val="6B416A23"/>
    <w:multiLevelType w:val="multilevel"/>
    <w:tmpl w:val="6B416A23"/>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5">
    <w:nsid w:val="6CEA2025"/>
    <w:multiLevelType w:val="multilevel"/>
    <w:tmpl w:val="6CEA2025"/>
    <w:lvl w:ilvl="0" w:tentative="0">
      <w:start w:val="1"/>
      <w:numFmt w:val="none"/>
      <w:pStyle w:val="50"/>
      <w:suff w:val="nothing"/>
      <w:lvlText w:val="%1"/>
      <w:lvlJc w:val="left"/>
      <w:rPr>
        <w:rFonts w:hint="default" w:ascii="Times New Roman" w:hAnsi="Times New Roman" w:cs="Times New Roman"/>
        <w:b/>
        <w:bCs/>
        <w:i w:val="0"/>
        <w:iCs w:val="0"/>
        <w:sz w:val="21"/>
        <w:szCs w:val="21"/>
      </w:rPr>
    </w:lvl>
    <w:lvl w:ilvl="1" w:tentative="0">
      <w:start w:val="1"/>
      <w:numFmt w:val="decimal"/>
      <w:pStyle w:val="48"/>
      <w:suff w:val="nothing"/>
      <w:lvlText w:val="%1%2　"/>
      <w:lvlJc w:val="left"/>
      <w:rPr>
        <w:rFonts w:hint="eastAsia" w:ascii="黑体" w:hAnsi="Times New Roman" w:eastAsia="黑体"/>
        <w:b w:val="0"/>
        <w:bCs w:val="0"/>
        <w:i w:val="0"/>
        <w:iCs w:val="0"/>
        <w:sz w:val="21"/>
        <w:szCs w:val="21"/>
      </w:rPr>
    </w:lvl>
    <w:lvl w:ilvl="2" w:tentative="0">
      <w:start w:val="1"/>
      <w:numFmt w:val="decimal"/>
      <w:pStyle w:val="49"/>
      <w:suff w:val="nothing"/>
      <w:lvlText w:val="%1%2.%3　"/>
      <w:lvlJc w:val="left"/>
      <w:rPr>
        <w:rFonts w:hint="eastAsia" w:ascii="黑体" w:hAnsi="Times New Roman" w:eastAsia="黑体"/>
        <w:b w:val="0"/>
        <w:bCs w:val="0"/>
        <w:i w:val="0"/>
        <w:iCs w:val="0"/>
        <w:sz w:val="21"/>
        <w:szCs w:val="21"/>
      </w:rPr>
    </w:lvl>
    <w:lvl w:ilvl="3" w:tentative="0">
      <w:start w:val="1"/>
      <w:numFmt w:val="decimal"/>
      <w:pStyle w:val="44"/>
      <w:suff w:val="nothing"/>
      <w:lvlText w:val="%1%2.%3.%4　"/>
      <w:lvlJc w:val="left"/>
      <w:rPr>
        <w:rFonts w:hint="eastAsia" w:ascii="黑体" w:hAnsi="Times New Roman" w:eastAsia="黑体"/>
        <w:b w:val="0"/>
        <w:bCs w:val="0"/>
        <w:i w:val="0"/>
        <w:iCs w:val="0"/>
        <w:sz w:val="21"/>
        <w:szCs w:val="21"/>
      </w:rPr>
    </w:lvl>
    <w:lvl w:ilvl="4" w:tentative="0">
      <w:start w:val="1"/>
      <w:numFmt w:val="decimal"/>
      <w:pStyle w:val="45"/>
      <w:suff w:val="nothing"/>
      <w:lvlText w:val="%1%2.%3.%4.%5　"/>
      <w:lvlJc w:val="left"/>
      <w:rPr>
        <w:rFonts w:hint="eastAsia" w:ascii="黑体" w:hAnsi="Times New Roman" w:eastAsia="黑体"/>
        <w:b w:val="0"/>
        <w:bCs w:val="0"/>
        <w:i w:val="0"/>
        <w:iCs w:val="0"/>
        <w:sz w:val="21"/>
        <w:szCs w:val="21"/>
      </w:rPr>
    </w:lvl>
    <w:lvl w:ilvl="5" w:tentative="0">
      <w:start w:val="1"/>
      <w:numFmt w:val="decimal"/>
      <w:pStyle w:val="46"/>
      <w:suff w:val="nothing"/>
      <w:lvlText w:val="%1%2.%3.%4.%5.%6　"/>
      <w:lvlJc w:val="left"/>
      <w:rPr>
        <w:rFonts w:hint="eastAsia" w:ascii="黑体" w:hAnsi="Times New Roman" w:eastAsia="黑体"/>
        <w:b w:val="0"/>
        <w:bCs w:val="0"/>
        <w:i w:val="0"/>
        <w:iCs w:val="0"/>
        <w:sz w:val="21"/>
        <w:szCs w:val="21"/>
      </w:rPr>
    </w:lvl>
    <w:lvl w:ilvl="6" w:tentative="0">
      <w:start w:val="1"/>
      <w:numFmt w:val="decimal"/>
      <w:pStyle w:val="47"/>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6">
    <w:nsid w:val="70A12EED"/>
    <w:multiLevelType w:val="multilevel"/>
    <w:tmpl w:val="70A12EE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7">
    <w:nsid w:val="77F9614D"/>
    <w:multiLevelType w:val="multilevel"/>
    <w:tmpl w:val="77F9614D"/>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7A015A01"/>
    <w:multiLevelType w:val="multilevel"/>
    <w:tmpl w:val="7A015A01"/>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7"/>
  </w:num>
  <w:num w:numId="2">
    <w:abstractNumId w:val="25"/>
  </w:num>
  <w:num w:numId="3">
    <w:abstractNumId w:val="10"/>
  </w:num>
  <w:num w:numId="4">
    <w:abstractNumId w:val="14"/>
  </w:num>
  <w:num w:numId="5">
    <w:abstractNumId w:val="23"/>
  </w:num>
  <w:num w:numId="6">
    <w:abstractNumId w:val="22"/>
  </w:num>
  <w:num w:numId="7">
    <w:abstractNumId w:val="3"/>
  </w:num>
  <w:num w:numId="8">
    <w:abstractNumId w:val="16"/>
  </w:num>
  <w:num w:numId="9">
    <w:abstractNumId w:val="8"/>
  </w:num>
  <w:num w:numId="10">
    <w:abstractNumId w:val="26"/>
  </w:num>
  <w:num w:numId="11">
    <w:abstractNumId w:val="18"/>
  </w:num>
  <w:num w:numId="12">
    <w:abstractNumId w:val="5"/>
  </w:num>
  <w:num w:numId="13">
    <w:abstractNumId w:val="24"/>
  </w:num>
  <w:num w:numId="14">
    <w:abstractNumId w:val="27"/>
  </w:num>
  <w:num w:numId="15">
    <w:abstractNumId w:val="0"/>
  </w:num>
  <w:num w:numId="16">
    <w:abstractNumId w:val="28"/>
  </w:num>
  <w:num w:numId="17">
    <w:abstractNumId w:val="4"/>
  </w:num>
  <w:num w:numId="18">
    <w:abstractNumId w:val="7"/>
  </w:num>
  <w:num w:numId="19">
    <w:abstractNumId w:val="6"/>
  </w:num>
  <w:num w:numId="20">
    <w:abstractNumId w:val="21"/>
  </w:num>
  <w:num w:numId="21">
    <w:abstractNumId w:val="2"/>
  </w:num>
  <w:num w:numId="22">
    <w:abstractNumId w:val="19"/>
  </w:num>
  <w:num w:numId="23">
    <w:abstractNumId w:val="9"/>
  </w:num>
  <w:num w:numId="24">
    <w:abstractNumId w:val="12"/>
  </w:num>
  <w:num w:numId="25">
    <w:abstractNumId w:val="11"/>
  </w:num>
  <w:num w:numId="26">
    <w:abstractNumId w:val="1"/>
  </w:num>
  <w:num w:numId="27">
    <w:abstractNumId w:val="15"/>
  </w:num>
  <w:num w:numId="28">
    <w:abstractNumId w:val="20"/>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wMTdkY2ZkYjEwNjEyOWQwMGZkZDkxZDc4OWUzOGMifQ=="/>
  </w:docVars>
  <w:rsids>
    <w:rsidRoot w:val="002C5AF2"/>
    <w:rsid w:val="00001B23"/>
    <w:rsid w:val="00004205"/>
    <w:rsid w:val="00004C35"/>
    <w:rsid w:val="00004C57"/>
    <w:rsid w:val="00005AE1"/>
    <w:rsid w:val="00007925"/>
    <w:rsid w:val="0001042B"/>
    <w:rsid w:val="00010920"/>
    <w:rsid w:val="000125AF"/>
    <w:rsid w:val="00016F4A"/>
    <w:rsid w:val="00022840"/>
    <w:rsid w:val="00022DEE"/>
    <w:rsid w:val="00026B8F"/>
    <w:rsid w:val="000303C3"/>
    <w:rsid w:val="000341D0"/>
    <w:rsid w:val="00035A02"/>
    <w:rsid w:val="00035E7C"/>
    <w:rsid w:val="00037CB7"/>
    <w:rsid w:val="000402D8"/>
    <w:rsid w:val="0004182D"/>
    <w:rsid w:val="00043C09"/>
    <w:rsid w:val="00044D93"/>
    <w:rsid w:val="000462AE"/>
    <w:rsid w:val="000466F6"/>
    <w:rsid w:val="00046841"/>
    <w:rsid w:val="000510E4"/>
    <w:rsid w:val="000512F5"/>
    <w:rsid w:val="00052D43"/>
    <w:rsid w:val="00053D4B"/>
    <w:rsid w:val="00054249"/>
    <w:rsid w:val="00060110"/>
    <w:rsid w:val="00065DE0"/>
    <w:rsid w:val="000674BC"/>
    <w:rsid w:val="00067721"/>
    <w:rsid w:val="00070787"/>
    <w:rsid w:val="00071907"/>
    <w:rsid w:val="00080E07"/>
    <w:rsid w:val="00083C6A"/>
    <w:rsid w:val="00084933"/>
    <w:rsid w:val="00091313"/>
    <w:rsid w:val="00095E18"/>
    <w:rsid w:val="000A2603"/>
    <w:rsid w:val="000A4ACA"/>
    <w:rsid w:val="000B0750"/>
    <w:rsid w:val="000B17AB"/>
    <w:rsid w:val="000B2D11"/>
    <w:rsid w:val="000B3539"/>
    <w:rsid w:val="000B4D50"/>
    <w:rsid w:val="000B639F"/>
    <w:rsid w:val="000B6AE4"/>
    <w:rsid w:val="000B7625"/>
    <w:rsid w:val="000C2EB6"/>
    <w:rsid w:val="000C37EF"/>
    <w:rsid w:val="000C7F6F"/>
    <w:rsid w:val="000D0F69"/>
    <w:rsid w:val="000D143F"/>
    <w:rsid w:val="000D26BF"/>
    <w:rsid w:val="000E12E5"/>
    <w:rsid w:val="000E430C"/>
    <w:rsid w:val="000E4D56"/>
    <w:rsid w:val="000E555B"/>
    <w:rsid w:val="000F021F"/>
    <w:rsid w:val="000F4AEE"/>
    <w:rsid w:val="00100A43"/>
    <w:rsid w:val="001014A0"/>
    <w:rsid w:val="001022F5"/>
    <w:rsid w:val="001039E9"/>
    <w:rsid w:val="0010555B"/>
    <w:rsid w:val="001055D2"/>
    <w:rsid w:val="001208C4"/>
    <w:rsid w:val="00121E07"/>
    <w:rsid w:val="001225CA"/>
    <w:rsid w:val="00124EBC"/>
    <w:rsid w:val="00126ECD"/>
    <w:rsid w:val="00131F2C"/>
    <w:rsid w:val="00142B51"/>
    <w:rsid w:val="00145533"/>
    <w:rsid w:val="001504EE"/>
    <w:rsid w:val="00151D96"/>
    <w:rsid w:val="00155D69"/>
    <w:rsid w:val="001621DC"/>
    <w:rsid w:val="00162A29"/>
    <w:rsid w:val="001645F5"/>
    <w:rsid w:val="00171C14"/>
    <w:rsid w:val="001721E0"/>
    <w:rsid w:val="00173014"/>
    <w:rsid w:val="001739B0"/>
    <w:rsid w:val="0017617E"/>
    <w:rsid w:val="00180087"/>
    <w:rsid w:val="0018071B"/>
    <w:rsid w:val="001836F1"/>
    <w:rsid w:val="00186800"/>
    <w:rsid w:val="00190176"/>
    <w:rsid w:val="00190FB8"/>
    <w:rsid w:val="00195627"/>
    <w:rsid w:val="001974B3"/>
    <w:rsid w:val="001A3C30"/>
    <w:rsid w:val="001B31D9"/>
    <w:rsid w:val="001B650B"/>
    <w:rsid w:val="001C16AE"/>
    <w:rsid w:val="001C45CD"/>
    <w:rsid w:val="001C46F9"/>
    <w:rsid w:val="001C488E"/>
    <w:rsid w:val="001C5A2E"/>
    <w:rsid w:val="001C6D17"/>
    <w:rsid w:val="001C7211"/>
    <w:rsid w:val="001C733D"/>
    <w:rsid w:val="001D330F"/>
    <w:rsid w:val="001D3F00"/>
    <w:rsid w:val="001D586E"/>
    <w:rsid w:val="001D719C"/>
    <w:rsid w:val="001E1261"/>
    <w:rsid w:val="001E1E1B"/>
    <w:rsid w:val="001E2559"/>
    <w:rsid w:val="001E4012"/>
    <w:rsid w:val="001E56DB"/>
    <w:rsid w:val="001E60F2"/>
    <w:rsid w:val="001E62B3"/>
    <w:rsid w:val="001E6C75"/>
    <w:rsid w:val="001F2818"/>
    <w:rsid w:val="001F4519"/>
    <w:rsid w:val="001F4DA6"/>
    <w:rsid w:val="00200AE4"/>
    <w:rsid w:val="002022FE"/>
    <w:rsid w:val="002033CE"/>
    <w:rsid w:val="00204C28"/>
    <w:rsid w:val="002071B1"/>
    <w:rsid w:val="00207B96"/>
    <w:rsid w:val="00211718"/>
    <w:rsid w:val="00211B3E"/>
    <w:rsid w:val="002132C5"/>
    <w:rsid w:val="002167C3"/>
    <w:rsid w:val="00216FB0"/>
    <w:rsid w:val="00224423"/>
    <w:rsid w:val="00231CA5"/>
    <w:rsid w:val="0023735E"/>
    <w:rsid w:val="00240191"/>
    <w:rsid w:val="00240B26"/>
    <w:rsid w:val="00247311"/>
    <w:rsid w:val="002476CF"/>
    <w:rsid w:val="0025034A"/>
    <w:rsid w:val="00254952"/>
    <w:rsid w:val="00255EB9"/>
    <w:rsid w:val="00260A7F"/>
    <w:rsid w:val="00272D3C"/>
    <w:rsid w:val="00277CE5"/>
    <w:rsid w:val="00280C10"/>
    <w:rsid w:val="00281594"/>
    <w:rsid w:val="00282D08"/>
    <w:rsid w:val="00282EEA"/>
    <w:rsid w:val="00283284"/>
    <w:rsid w:val="0028374B"/>
    <w:rsid w:val="002924AA"/>
    <w:rsid w:val="00294EAC"/>
    <w:rsid w:val="00296A3A"/>
    <w:rsid w:val="002A0F20"/>
    <w:rsid w:val="002A6DC1"/>
    <w:rsid w:val="002A7ACC"/>
    <w:rsid w:val="002C0BF0"/>
    <w:rsid w:val="002C2D14"/>
    <w:rsid w:val="002C5AF2"/>
    <w:rsid w:val="002D0764"/>
    <w:rsid w:val="002D1EE6"/>
    <w:rsid w:val="002D2B25"/>
    <w:rsid w:val="002D5993"/>
    <w:rsid w:val="002D6D92"/>
    <w:rsid w:val="002E6A92"/>
    <w:rsid w:val="002F33EB"/>
    <w:rsid w:val="002F5422"/>
    <w:rsid w:val="002F6572"/>
    <w:rsid w:val="002F7344"/>
    <w:rsid w:val="00301F77"/>
    <w:rsid w:val="00303FD5"/>
    <w:rsid w:val="003041C1"/>
    <w:rsid w:val="003045D9"/>
    <w:rsid w:val="00306827"/>
    <w:rsid w:val="00307447"/>
    <w:rsid w:val="00307E5C"/>
    <w:rsid w:val="003103B1"/>
    <w:rsid w:val="00310BCB"/>
    <w:rsid w:val="00314591"/>
    <w:rsid w:val="00314D97"/>
    <w:rsid w:val="003173A3"/>
    <w:rsid w:val="00317465"/>
    <w:rsid w:val="00323253"/>
    <w:rsid w:val="003234E7"/>
    <w:rsid w:val="00327F59"/>
    <w:rsid w:val="00334A85"/>
    <w:rsid w:val="00335997"/>
    <w:rsid w:val="0033631B"/>
    <w:rsid w:val="00337EFB"/>
    <w:rsid w:val="0035261D"/>
    <w:rsid w:val="003539D0"/>
    <w:rsid w:val="003550E2"/>
    <w:rsid w:val="0035527E"/>
    <w:rsid w:val="0035646A"/>
    <w:rsid w:val="00364A17"/>
    <w:rsid w:val="0036524D"/>
    <w:rsid w:val="00365937"/>
    <w:rsid w:val="00366218"/>
    <w:rsid w:val="00366E8C"/>
    <w:rsid w:val="00367CAA"/>
    <w:rsid w:val="0037387D"/>
    <w:rsid w:val="00373DE3"/>
    <w:rsid w:val="00386EBA"/>
    <w:rsid w:val="00387B2B"/>
    <w:rsid w:val="00390747"/>
    <w:rsid w:val="00390BD8"/>
    <w:rsid w:val="003954AB"/>
    <w:rsid w:val="003964D7"/>
    <w:rsid w:val="00396FB4"/>
    <w:rsid w:val="00397489"/>
    <w:rsid w:val="00397B3C"/>
    <w:rsid w:val="003A1196"/>
    <w:rsid w:val="003A63F9"/>
    <w:rsid w:val="003B266B"/>
    <w:rsid w:val="003B5AC5"/>
    <w:rsid w:val="003C1AA7"/>
    <w:rsid w:val="003C5BD6"/>
    <w:rsid w:val="003C6974"/>
    <w:rsid w:val="003C7616"/>
    <w:rsid w:val="003C7C48"/>
    <w:rsid w:val="003D211E"/>
    <w:rsid w:val="003D6E9A"/>
    <w:rsid w:val="003E1545"/>
    <w:rsid w:val="003E7F9F"/>
    <w:rsid w:val="003F11EB"/>
    <w:rsid w:val="003F19B4"/>
    <w:rsid w:val="003F20C7"/>
    <w:rsid w:val="003F2FAC"/>
    <w:rsid w:val="003F513F"/>
    <w:rsid w:val="00400773"/>
    <w:rsid w:val="00402313"/>
    <w:rsid w:val="00402809"/>
    <w:rsid w:val="0040421F"/>
    <w:rsid w:val="00404251"/>
    <w:rsid w:val="00404F21"/>
    <w:rsid w:val="004132D9"/>
    <w:rsid w:val="00413742"/>
    <w:rsid w:val="00413944"/>
    <w:rsid w:val="00421CD0"/>
    <w:rsid w:val="00427F03"/>
    <w:rsid w:val="0043023A"/>
    <w:rsid w:val="004315D9"/>
    <w:rsid w:val="0043384F"/>
    <w:rsid w:val="00434FEE"/>
    <w:rsid w:val="0043599C"/>
    <w:rsid w:val="00437ECC"/>
    <w:rsid w:val="004534A1"/>
    <w:rsid w:val="004544EF"/>
    <w:rsid w:val="00456244"/>
    <w:rsid w:val="00460BCA"/>
    <w:rsid w:val="00462E8F"/>
    <w:rsid w:val="00463A6C"/>
    <w:rsid w:val="00465960"/>
    <w:rsid w:val="00466E17"/>
    <w:rsid w:val="00470505"/>
    <w:rsid w:val="00471390"/>
    <w:rsid w:val="0048791F"/>
    <w:rsid w:val="00492A18"/>
    <w:rsid w:val="0049554B"/>
    <w:rsid w:val="0049769E"/>
    <w:rsid w:val="004A29E2"/>
    <w:rsid w:val="004A52CB"/>
    <w:rsid w:val="004A53B0"/>
    <w:rsid w:val="004A5DA8"/>
    <w:rsid w:val="004B3308"/>
    <w:rsid w:val="004C33D4"/>
    <w:rsid w:val="004C58BE"/>
    <w:rsid w:val="004C594B"/>
    <w:rsid w:val="004D33E9"/>
    <w:rsid w:val="004D702F"/>
    <w:rsid w:val="004D7706"/>
    <w:rsid w:val="004D780D"/>
    <w:rsid w:val="004D7EB3"/>
    <w:rsid w:val="004E126B"/>
    <w:rsid w:val="004E264E"/>
    <w:rsid w:val="004E339A"/>
    <w:rsid w:val="004E6449"/>
    <w:rsid w:val="004E6D89"/>
    <w:rsid w:val="004E71E2"/>
    <w:rsid w:val="004E74B3"/>
    <w:rsid w:val="004E7FC0"/>
    <w:rsid w:val="004F0134"/>
    <w:rsid w:val="004F10DC"/>
    <w:rsid w:val="004F30AC"/>
    <w:rsid w:val="004F381E"/>
    <w:rsid w:val="005008A1"/>
    <w:rsid w:val="00501A0B"/>
    <w:rsid w:val="005030D1"/>
    <w:rsid w:val="0050572F"/>
    <w:rsid w:val="00507745"/>
    <w:rsid w:val="00510258"/>
    <w:rsid w:val="005128F3"/>
    <w:rsid w:val="0051517A"/>
    <w:rsid w:val="00515EC9"/>
    <w:rsid w:val="0052233F"/>
    <w:rsid w:val="00522BF6"/>
    <w:rsid w:val="00524479"/>
    <w:rsid w:val="0052450A"/>
    <w:rsid w:val="00536CB0"/>
    <w:rsid w:val="00540607"/>
    <w:rsid w:val="00541C71"/>
    <w:rsid w:val="00541F3F"/>
    <w:rsid w:val="005440D8"/>
    <w:rsid w:val="00545FE6"/>
    <w:rsid w:val="00547120"/>
    <w:rsid w:val="00560BD7"/>
    <w:rsid w:val="0056127B"/>
    <w:rsid w:val="005653CD"/>
    <w:rsid w:val="005702F8"/>
    <w:rsid w:val="005740D9"/>
    <w:rsid w:val="00576274"/>
    <w:rsid w:val="00582D05"/>
    <w:rsid w:val="005835E9"/>
    <w:rsid w:val="00583F19"/>
    <w:rsid w:val="00590BF7"/>
    <w:rsid w:val="00590F30"/>
    <w:rsid w:val="00593ECC"/>
    <w:rsid w:val="005A24B3"/>
    <w:rsid w:val="005A43C0"/>
    <w:rsid w:val="005A5A48"/>
    <w:rsid w:val="005A7928"/>
    <w:rsid w:val="005A7B18"/>
    <w:rsid w:val="005B3B68"/>
    <w:rsid w:val="005B471C"/>
    <w:rsid w:val="005B48F7"/>
    <w:rsid w:val="005B53F6"/>
    <w:rsid w:val="005C105F"/>
    <w:rsid w:val="005C4457"/>
    <w:rsid w:val="005C5B10"/>
    <w:rsid w:val="005C640C"/>
    <w:rsid w:val="005D0BFD"/>
    <w:rsid w:val="005D0F20"/>
    <w:rsid w:val="005D263B"/>
    <w:rsid w:val="005D3750"/>
    <w:rsid w:val="005D3E95"/>
    <w:rsid w:val="005D5107"/>
    <w:rsid w:val="005D56C1"/>
    <w:rsid w:val="005D6998"/>
    <w:rsid w:val="005D6F49"/>
    <w:rsid w:val="005D6F84"/>
    <w:rsid w:val="005E1B21"/>
    <w:rsid w:val="005E366C"/>
    <w:rsid w:val="005F2426"/>
    <w:rsid w:val="005F45AB"/>
    <w:rsid w:val="005F6046"/>
    <w:rsid w:val="006055C2"/>
    <w:rsid w:val="006100F4"/>
    <w:rsid w:val="00612DC5"/>
    <w:rsid w:val="0061359C"/>
    <w:rsid w:val="00617017"/>
    <w:rsid w:val="006174F5"/>
    <w:rsid w:val="00633FC5"/>
    <w:rsid w:val="006343AA"/>
    <w:rsid w:val="00641FA1"/>
    <w:rsid w:val="00643FAD"/>
    <w:rsid w:val="00647F06"/>
    <w:rsid w:val="006532BE"/>
    <w:rsid w:val="00661176"/>
    <w:rsid w:val="00661F38"/>
    <w:rsid w:val="00663706"/>
    <w:rsid w:val="00663FE3"/>
    <w:rsid w:val="0066736D"/>
    <w:rsid w:val="00671B1F"/>
    <w:rsid w:val="0067288F"/>
    <w:rsid w:val="00675E5C"/>
    <w:rsid w:val="0067620B"/>
    <w:rsid w:val="00683778"/>
    <w:rsid w:val="0068396E"/>
    <w:rsid w:val="00685330"/>
    <w:rsid w:val="00690570"/>
    <w:rsid w:val="00691989"/>
    <w:rsid w:val="006957E2"/>
    <w:rsid w:val="00695A05"/>
    <w:rsid w:val="00697709"/>
    <w:rsid w:val="006A093B"/>
    <w:rsid w:val="006A1A2A"/>
    <w:rsid w:val="006A399C"/>
    <w:rsid w:val="006A53D6"/>
    <w:rsid w:val="006B1179"/>
    <w:rsid w:val="006B45E2"/>
    <w:rsid w:val="006B55C5"/>
    <w:rsid w:val="006B683E"/>
    <w:rsid w:val="006B7B5A"/>
    <w:rsid w:val="006C04CC"/>
    <w:rsid w:val="006C5461"/>
    <w:rsid w:val="006C6C9D"/>
    <w:rsid w:val="006C790D"/>
    <w:rsid w:val="006D548F"/>
    <w:rsid w:val="006D585A"/>
    <w:rsid w:val="006D6D85"/>
    <w:rsid w:val="006E445E"/>
    <w:rsid w:val="006E6C28"/>
    <w:rsid w:val="006F0333"/>
    <w:rsid w:val="006F1B3B"/>
    <w:rsid w:val="006F2AEE"/>
    <w:rsid w:val="006F772E"/>
    <w:rsid w:val="00705111"/>
    <w:rsid w:val="00705599"/>
    <w:rsid w:val="00705A34"/>
    <w:rsid w:val="00706433"/>
    <w:rsid w:val="00706F78"/>
    <w:rsid w:val="0071146E"/>
    <w:rsid w:val="00711C1B"/>
    <w:rsid w:val="00720D5F"/>
    <w:rsid w:val="00723425"/>
    <w:rsid w:val="00723F67"/>
    <w:rsid w:val="0073114C"/>
    <w:rsid w:val="007319FA"/>
    <w:rsid w:val="00734AD0"/>
    <w:rsid w:val="0073518C"/>
    <w:rsid w:val="007354BE"/>
    <w:rsid w:val="00736A46"/>
    <w:rsid w:val="00737451"/>
    <w:rsid w:val="00741E22"/>
    <w:rsid w:val="00742E36"/>
    <w:rsid w:val="00745EF5"/>
    <w:rsid w:val="00747E64"/>
    <w:rsid w:val="00767CF9"/>
    <w:rsid w:val="00770F42"/>
    <w:rsid w:val="007738B6"/>
    <w:rsid w:val="0077479C"/>
    <w:rsid w:val="00775C9E"/>
    <w:rsid w:val="00781821"/>
    <w:rsid w:val="00790C65"/>
    <w:rsid w:val="00794281"/>
    <w:rsid w:val="00794EA3"/>
    <w:rsid w:val="00796E91"/>
    <w:rsid w:val="00796FC2"/>
    <w:rsid w:val="007A3C1D"/>
    <w:rsid w:val="007A5B88"/>
    <w:rsid w:val="007B0169"/>
    <w:rsid w:val="007B1D84"/>
    <w:rsid w:val="007B4E68"/>
    <w:rsid w:val="007B5FF5"/>
    <w:rsid w:val="007C03BA"/>
    <w:rsid w:val="007C10AD"/>
    <w:rsid w:val="007C18CD"/>
    <w:rsid w:val="007C74D7"/>
    <w:rsid w:val="007D004F"/>
    <w:rsid w:val="007D158C"/>
    <w:rsid w:val="007D541A"/>
    <w:rsid w:val="007D5B61"/>
    <w:rsid w:val="007D5EBF"/>
    <w:rsid w:val="007D7D1F"/>
    <w:rsid w:val="007E0CE7"/>
    <w:rsid w:val="007E32B3"/>
    <w:rsid w:val="007E574C"/>
    <w:rsid w:val="007E6038"/>
    <w:rsid w:val="007E644A"/>
    <w:rsid w:val="007E6AEC"/>
    <w:rsid w:val="007F4774"/>
    <w:rsid w:val="007F6B63"/>
    <w:rsid w:val="007F7FBE"/>
    <w:rsid w:val="008026F9"/>
    <w:rsid w:val="00804305"/>
    <w:rsid w:val="0080520D"/>
    <w:rsid w:val="00806A6A"/>
    <w:rsid w:val="0081555B"/>
    <w:rsid w:val="0081563E"/>
    <w:rsid w:val="008179D0"/>
    <w:rsid w:val="00817F19"/>
    <w:rsid w:val="00817FE4"/>
    <w:rsid w:val="008200DA"/>
    <w:rsid w:val="00820706"/>
    <w:rsid w:val="0082439A"/>
    <w:rsid w:val="008258E0"/>
    <w:rsid w:val="00826E43"/>
    <w:rsid w:val="0082723F"/>
    <w:rsid w:val="0083418B"/>
    <w:rsid w:val="008349D4"/>
    <w:rsid w:val="0084227F"/>
    <w:rsid w:val="0084246D"/>
    <w:rsid w:val="008433AB"/>
    <w:rsid w:val="0084747E"/>
    <w:rsid w:val="00847A44"/>
    <w:rsid w:val="00847FFC"/>
    <w:rsid w:val="008522A9"/>
    <w:rsid w:val="00852F80"/>
    <w:rsid w:val="00854800"/>
    <w:rsid w:val="00854B38"/>
    <w:rsid w:val="00857A2E"/>
    <w:rsid w:val="0086185A"/>
    <w:rsid w:val="00865923"/>
    <w:rsid w:val="00871AF8"/>
    <w:rsid w:val="00874E0E"/>
    <w:rsid w:val="00880CD5"/>
    <w:rsid w:val="0088274F"/>
    <w:rsid w:val="00883A33"/>
    <w:rsid w:val="008850DE"/>
    <w:rsid w:val="008859B8"/>
    <w:rsid w:val="00891CDF"/>
    <w:rsid w:val="00895033"/>
    <w:rsid w:val="00895726"/>
    <w:rsid w:val="00896B06"/>
    <w:rsid w:val="008A141E"/>
    <w:rsid w:val="008A49EC"/>
    <w:rsid w:val="008A7AE1"/>
    <w:rsid w:val="008A7DFD"/>
    <w:rsid w:val="008B119E"/>
    <w:rsid w:val="008B196C"/>
    <w:rsid w:val="008B2A8B"/>
    <w:rsid w:val="008B2E66"/>
    <w:rsid w:val="008B4F57"/>
    <w:rsid w:val="008B51FD"/>
    <w:rsid w:val="008B70A6"/>
    <w:rsid w:val="008C0831"/>
    <w:rsid w:val="008C1711"/>
    <w:rsid w:val="008C3C66"/>
    <w:rsid w:val="008C4C7C"/>
    <w:rsid w:val="008C6A23"/>
    <w:rsid w:val="008C6C67"/>
    <w:rsid w:val="008D01DE"/>
    <w:rsid w:val="008D1F05"/>
    <w:rsid w:val="008D619D"/>
    <w:rsid w:val="008E014B"/>
    <w:rsid w:val="008E1472"/>
    <w:rsid w:val="008E2404"/>
    <w:rsid w:val="008E5466"/>
    <w:rsid w:val="008F19BA"/>
    <w:rsid w:val="00902ADD"/>
    <w:rsid w:val="009056C4"/>
    <w:rsid w:val="0091471B"/>
    <w:rsid w:val="009175CE"/>
    <w:rsid w:val="00917D8C"/>
    <w:rsid w:val="0092094B"/>
    <w:rsid w:val="009221C1"/>
    <w:rsid w:val="0092245E"/>
    <w:rsid w:val="00927106"/>
    <w:rsid w:val="00932FDA"/>
    <w:rsid w:val="009366B6"/>
    <w:rsid w:val="00937160"/>
    <w:rsid w:val="00937FDA"/>
    <w:rsid w:val="00940F68"/>
    <w:rsid w:val="00942243"/>
    <w:rsid w:val="00943762"/>
    <w:rsid w:val="00947A61"/>
    <w:rsid w:val="00951FFD"/>
    <w:rsid w:val="00953008"/>
    <w:rsid w:val="00954094"/>
    <w:rsid w:val="009560C1"/>
    <w:rsid w:val="00960933"/>
    <w:rsid w:val="00961116"/>
    <w:rsid w:val="00964DEF"/>
    <w:rsid w:val="009675DF"/>
    <w:rsid w:val="009712A7"/>
    <w:rsid w:val="009725F8"/>
    <w:rsid w:val="00974814"/>
    <w:rsid w:val="009768A0"/>
    <w:rsid w:val="00984B1C"/>
    <w:rsid w:val="00984E08"/>
    <w:rsid w:val="009854DC"/>
    <w:rsid w:val="00987CEF"/>
    <w:rsid w:val="009906C7"/>
    <w:rsid w:val="00990CCF"/>
    <w:rsid w:val="00991963"/>
    <w:rsid w:val="0099665D"/>
    <w:rsid w:val="009A1C87"/>
    <w:rsid w:val="009A3622"/>
    <w:rsid w:val="009A5841"/>
    <w:rsid w:val="009B02A2"/>
    <w:rsid w:val="009B073C"/>
    <w:rsid w:val="009B2B9A"/>
    <w:rsid w:val="009B640F"/>
    <w:rsid w:val="009C3923"/>
    <w:rsid w:val="009C7BFE"/>
    <w:rsid w:val="009D2049"/>
    <w:rsid w:val="009D43A1"/>
    <w:rsid w:val="009E036D"/>
    <w:rsid w:val="009E3DDF"/>
    <w:rsid w:val="009E4E44"/>
    <w:rsid w:val="009E4E5C"/>
    <w:rsid w:val="009E59AB"/>
    <w:rsid w:val="009F1E9D"/>
    <w:rsid w:val="009F23CA"/>
    <w:rsid w:val="009F23F6"/>
    <w:rsid w:val="009F4638"/>
    <w:rsid w:val="009F5479"/>
    <w:rsid w:val="00A00DCB"/>
    <w:rsid w:val="00A02CD5"/>
    <w:rsid w:val="00A04AF6"/>
    <w:rsid w:val="00A0543E"/>
    <w:rsid w:val="00A10576"/>
    <w:rsid w:val="00A11259"/>
    <w:rsid w:val="00A125A6"/>
    <w:rsid w:val="00A13113"/>
    <w:rsid w:val="00A16C7B"/>
    <w:rsid w:val="00A204E7"/>
    <w:rsid w:val="00A23292"/>
    <w:rsid w:val="00A24184"/>
    <w:rsid w:val="00A24755"/>
    <w:rsid w:val="00A3104D"/>
    <w:rsid w:val="00A35BAD"/>
    <w:rsid w:val="00A36991"/>
    <w:rsid w:val="00A37E00"/>
    <w:rsid w:val="00A46D8A"/>
    <w:rsid w:val="00A47F8A"/>
    <w:rsid w:val="00A541D7"/>
    <w:rsid w:val="00A6291C"/>
    <w:rsid w:val="00A72093"/>
    <w:rsid w:val="00A7498F"/>
    <w:rsid w:val="00A74B27"/>
    <w:rsid w:val="00A76A43"/>
    <w:rsid w:val="00A77326"/>
    <w:rsid w:val="00A804CD"/>
    <w:rsid w:val="00A9684E"/>
    <w:rsid w:val="00AA1532"/>
    <w:rsid w:val="00AA25D7"/>
    <w:rsid w:val="00AA4F20"/>
    <w:rsid w:val="00AA65B0"/>
    <w:rsid w:val="00AB2E22"/>
    <w:rsid w:val="00AB4EDD"/>
    <w:rsid w:val="00AB625A"/>
    <w:rsid w:val="00AB68E5"/>
    <w:rsid w:val="00AC0CF7"/>
    <w:rsid w:val="00AC1ADB"/>
    <w:rsid w:val="00AC38EA"/>
    <w:rsid w:val="00AC5750"/>
    <w:rsid w:val="00AC5C63"/>
    <w:rsid w:val="00AD2C86"/>
    <w:rsid w:val="00AD2E1A"/>
    <w:rsid w:val="00AD2E39"/>
    <w:rsid w:val="00AD40E0"/>
    <w:rsid w:val="00AD4653"/>
    <w:rsid w:val="00AD7739"/>
    <w:rsid w:val="00AE03EA"/>
    <w:rsid w:val="00AE1475"/>
    <w:rsid w:val="00AF2672"/>
    <w:rsid w:val="00AF4BD6"/>
    <w:rsid w:val="00AF57E5"/>
    <w:rsid w:val="00AF5817"/>
    <w:rsid w:val="00AF7A1B"/>
    <w:rsid w:val="00B06A03"/>
    <w:rsid w:val="00B10F6B"/>
    <w:rsid w:val="00B1149B"/>
    <w:rsid w:val="00B12AEE"/>
    <w:rsid w:val="00B165DF"/>
    <w:rsid w:val="00B27FB0"/>
    <w:rsid w:val="00B30498"/>
    <w:rsid w:val="00B34242"/>
    <w:rsid w:val="00B36447"/>
    <w:rsid w:val="00B36840"/>
    <w:rsid w:val="00B4041E"/>
    <w:rsid w:val="00B4342E"/>
    <w:rsid w:val="00B47D45"/>
    <w:rsid w:val="00B60B09"/>
    <w:rsid w:val="00B62DA8"/>
    <w:rsid w:val="00B64B54"/>
    <w:rsid w:val="00B6704E"/>
    <w:rsid w:val="00B6704F"/>
    <w:rsid w:val="00B7042B"/>
    <w:rsid w:val="00B7058C"/>
    <w:rsid w:val="00B70C7A"/>
    <w:rsid w:val="00B70D35"/>
    <w:rsid w:val="00B71F81"/>
    <w:rsid w:val="00B724B6"/>
    <w:rsid w:val="00B72CA5"/>
    <w:rsid w:val="00B73EF4"/>
    <w:rsid w:val="00B759D9"/>
    <w:rsid w:val="00B801B9"/>
    <w:rsid w:val="00B8205D"/>
    <w:rsid w:val="00B82577"/>
    <w:rsid w:val="00B87BB1"/>
    <w:rsid w:val="00B917CA"/>
    <w:rsid w:val="00B920C9"/>
    <w:rsid w:val="00B949CB"/>
    <w:rsid w:val="00BA12B1"/>
    <w:rsid w:val="00BA2251"/>
    <w:rsid w:val="00BA4750"/>
    <w:rsid w:val="00BB2F4F"/>
    <w:rsid w:val="00BB45A4"/>
    <w:rsid w:val="00BB49B1"/>
    <w:rsid w:val="00BB4C81"/>
    <w:rsid w:val="00BB5432"/>
    <w:rsid w:val="00BB65E5"/>
    <w:rsid w:val="00BB6A89"/>
    <w:rsid w:val="00BC3E0E"/>
    <w:rsid w:val="00BC5492"/>
    <w:rsid w:val="00BC7555"/>
    <w:rsid w:val="00BD198E"/>
    <w:rsid w:val="00BD2B71"/>
    <w:rsid w:val="00BD3D16"/>
    <w:rsid w:val="00BD6EFF"/>
    <w:rsid w:val="00BE21E1"/>
    <w:rsid w:val="00BE670F"/>
    <w:rsid w:val="00BF28CF"/>
    <w:rsid w:val="00C03148"/>
    <w:rsid w:val="00C11956"/>
    <w:rsid w:val="00C16682"/>
    <w:rsid w:val="00C20ED2"/>
    <w:rsid w:val="00C21BC8"/>
    <w:rsid w:val="00C22924"/>
    <w:rsid w:val="00C23F67"/>
    <w:rsid w:val="00C25DF5"/>
    <w:rsid w:val="00C2637C"/>
    <w:rsid w:val="00C27BE2"/>
    <w:rsid w:val="00C32E1A"/>
    <w:rsid w:val="00C36977"/>
    <w:rsid w:val="00C373B9"/>
    <w:rsid w:val="00C4032D"/>
    <w:rsid w:val="00C412CE"/>
    <w:rsid w:val="00C445DB"/>
    <w:rsid w:val="00C446DF"/>
    <w:rsid w:val="00C56FD2"/>
    <w:rsid w:val="00C57B80"/>
    <w:rsid w:val="00C601E5"/>
    <w:rsid w:val="00C609E5"/>
    <w:rsid w:val="00C60BBE"/>
    <w:rsid w:val="00C62F02"/>
    <w:rsid w:val="00C65AEE"/>
    <w:rsid w:val="00C66130"/>
    <w:rsid w:val="00C706C1"/>
    <w:rsid w:val="00C71ABD"/>
    <w:rsid w:val="00C73FAC"/>
    <w:rsid w:val="00C80652"/>
    <w:rsid w:val="00C81657"/>
    <w:rsid w:val="00C84C0E"/>
    <w:rsid w:val="00C869D0"/>
    <w:rsid w:val="00C91F3A"/>
    <w:rsid w:val="00C94D76"/>
    <w:rsid w:val="00CA227A"/>
    <w:rsid w:val="00CA32D5"/>
    <w:rsid w:val="00CA5B18"/>
    <w:rsid w:val="00CB124B"/>
    <w:rsid w:val="00CB13FA"/>
    <w:rsid w:val="00CB5417"/>
    <w:rsid w:val="00CB71DB"/>
    <w:rsid w:val="00CD6221"/>
    <w:rsid w:val="00CD71E5"/>
    <w:rsid w:val="00CE0989"/>
    <w:rsid w:val="00CE10C3"/>
    <w:rsid w:val="00CE419C"/>
    <w:rsid w:val="00CE6017"/>
    <w:rsid w:val="00CE6C2F"/>
    <w:rsid w:val="00CE70C0"/>
    <w:rsid w:val="00CE727B"/>
    <w:rsid w:val="00CE7D26"/>
    <w:rsid w:val="00CF114B"/>
    <w:rsid w:val="00CF3217"/>
    <w:rsid w:val="00CF3490"/>
    <w:rsid w:val="00D0663E"/>
    <w:rsid w:val="00D07250"/>
    <w:rsid w:val="00D11442"/>
    <w:rsid w:val="00D140CE"/>
    <w:rsid w:val="00D22DE2"/>
    <w:rsid w:val="00D23164"/>
    <w:rsid w:val="00D248A2"/>
    <w:rsid w:val="00D25A68"/>
    <w:rsid w:val="00D33617"/>
    <w:rsid w:val="00D336C4"/>
    <w:rsid w:val="00D41EAB"/>
    <w:rsid w:val="00D4216E"/>
    <w:rsid w:val="00D4287D"/>
    <w:rsid w:val="00D44463"/>
    <w:rsid w:val="00D44B78"/>
    <w:rsid w:val="00D44F2B"/>
    <w:rsid w:val="00D46E67"/>
    <w:rsid w:val="00D50F6D"/>
    <w:rsid w:val="00D533BA"/>
    <w:rsid w:val="00D53AF5"/>
    <w:rsid w:val="00D55454"/>
    <w:rsid w:val="00D5791E"/>
    <w:rsid w:val="00D57E41"/>
    <w:rsid w:val="00D617D9"/>
    <w:rsid w:val="00D62A3E"/>
    <w:rsid w:val="00D650FA"/>
    <w:rsid w:val="00D66103"/>
    <w:rsid w:val="00D733DD"/>
    <w:rsid w:val="00D8040E"/>
    <w:rsid w:val="00D808F9"/>
    <w:rsid w:val="00D80C9D"/>
    <w:rsid w:val="00D86507"/>
    <w:rsid w:val="00D9079D"/>
    <w:rsid w:val="00D92DDA"/>
    <w:rsid w:val="00D94ECA"/>
    <w:rsid w:val="00D95501"/>
    <w:rsid w:val="00D96F4B"/>
    <w:rsid w:val="00DA1252"/>
    <w:rsid w:val="00DA16F5"/>
    <w:rsid w:val="00DA5E02"/>
    <w:rsid w:val="00DA6346"/>
    <w:rsid w:val="00DC062D"/>
    <w:rsid w:val="00DC13D4"/>
    <w:rsid w:val="00DC1A94"/>
    <w:rsid w:val="00DC567D"/>
    <w:rsid w:val="00DC6C26"/>
    <w:rsid w:val="00DD0BCD"/>
    <w:rsid w:val="00DD45D3"/>
    <w:rsid w:val="00DD630C"/>
    <w:rsid w:val="00DD79D6"/>
    <w:rsid w:val="00DE18BF"/>
    <w:rsid w:val="00DF073C"/>
    <w:rsid w:val="00DF1499"/>
    <w:rsid w:val="00DF1A10"/>
    <w:rsid w:val="00DF4F8C"/>
    <w:rsid w:val="00DF53DB"/>
    <w:rsid w:val="00DF6D56"/>
    <w:rsid w:val="00E02761"/>
    <w:rsid w:val="00E03C41"/>
    <w:rsid w:val="00E06826"/>
    <w:rsid w:val="00E11705"/>
    <w:rsid w:val="00E15874"/>
    <w:rsid w:val="00E15DD6"/>
    <w:rsid w:val="00E1737D"/>
    <w:rsid w:val="00E213C3"/>
    <w:rsid w:val="00E21FCD"/>
    <w:rsid w:val="00E23565"/>
    <w:rsid w:val="00E23F21"/>
    <w:rsid w:val="00E25AD9"/>
    <w:rsid w:val="00E2666F"/>
    <w:rsid w:val="00E26F8D"/>
    <w:rsid w:val="00E307AF"/>
    <w:rsid w:val="00E3131D"/>
    <w:rsid w:val="00E31855"/>
    <w:rsid w:val="00E32E31"/>
    <w:rsid w:val="00E36B68"/>
    <w:rsid w:val="00E375AF"/>
    <w:rsid w:val="00E426E3"/>
    <w:rsid w:val="00E428E9"/>
    <w:rsid w:val="00E443EF"/>
    <w:rsid w:val="00E50239"/>
    <w:rsid w:val="00E5118E"/>
    <w:rsid w:val="00E530EA"/>
    <w:rsid w:val="00E53F91"/>
    <w:rsid w:val="00E54391"/>
    <w:rsid w:val="00E6337F"/>
    <w:rsid w:val="00E65845"/>
    <w:rsid w:val="00E738C4"/>
    <w:rsid w:val="00E802C7"/>
    <w:rsid w:val="00E80839"/>
    <w:rsid w:val="00E82C0F"/>
    <w:rsid w:val="00E837CC"/>
    <w:rsid w:val="00E862F8"/>
    <w:rsid w:val="00E874DA"/>
    <w:rsid w:val="00E91EA6"/>
    <w:rsid w:val="00E92894"/>
    <w:rsid w:val="00E96365"/>
    <w:rsid w:val="00EA5985"/>
    <w:rsid w:val="00EA5FB5"/>
    <w:rsid w:val="00EA77BD"/>
    <w:rsid w:val="00EA7E9F"/>
    <w:rsid w:val="00EB2722"/>
    <w:rsid w:val="00EB2B00"/>
    <w:rsid w:val="00EB55FD"/>
    <w:rsid w:val="00EB66D9"/>
    <w:rsid w:val="00EB6CB8"/>
    <w:rsid w:val="00EC0DAD"/>
    <w:rsid w:val="00EC5A80"/>
    <w:rsid w:val="00ED2B3E"/>
    <w:rsid w:val="00ED439B"/>
    <w:rsid w:val="00ED4DDC"/>
    <w:rsid w:val="00ED798A"/>
    <w:rsid w:val="00EE4D94"/>
    <w:rsid w:val="00EF25F0"/>
    <w:rsid w:val="00EF2667"/>
    <w:rsid w:val="00EF2EEA"/>
    <w:rsid w:val="00EF3CB4"/>
    <w:rsid w:val="00EF66D7"/>
    <w:rsid w:val="00F01104"/>
    <w:rsid w:val="00F03178"/>
    <w:rsid w:val="00F07051"/>
    <w:rsid w:val="00F10759"/>
    <w:rsid w:val="00F12600"/>
    <w:rsid w:val="00F12B97"/>
    <w:rsid w:val="00F1750F"/>
    <w:rsid w:val="00F21861"/>
    <w:rsid w:val="00F2238A"/>
    <w:rsid w:val="00F23D7E"/>
    <w:rsid w:val="00F2535D"/>
    <w:rsid w:val="00F2699C"/>
    <w:rsid w:val="00F325B7"/>
    <w:rsid w:val="00F43CBA"/>
    <w:rsid w:val="00F43D43"/>
    <w:rsid w:val="00F43F86"/>
    <w:rsid w:val="00F4510E"/>
    <w:rsid w:val="00F452E9"/>
    <w:rsid w:val="00F52D35"/>
    <w:rsid w:val="00F61F81"/>
    <w:rsid w:val="00F63B4F"/>
    <w:rsid w:val="00F63B92"/>
    <w:rsid w:val="00F66046"/>
    <w:rsid w:val="00F67A64"/>
    <w:rsid w:val="00F713D7"/>
    <w:rsid w:val="00F71F7D"/>
    <w:rsid w:val="00F73D06"/>
    <w:rsid w:val="00F741CC"/>
    <w:rsid w:val="00F75E60"/>
    <w:rsid w:val="00F779C2"/>
    <w:rsid w:val="00F82913"/>
    <w:rsid w:val="00F842C9"/>
    <w:rsid w:val="00F85CA4"/>
    <w:rsid w:val="00F86641"/>
    <w:rsid w:val="00F87588"/>
    <w:rsid w:val="00F90245"/>
    <w:rsid w:val="00F9043B"/>
    <w:rsid w:val="00F90DF7"/>
    <w:rsid w:val="00F9292B"/>
    <w:rsid w:val="00F9355E"/>
    <w:rsid w:val="00F939F8"/>
    <w:rsid w:val="00F96505"/>
    <w:rsid w:val="00FA0222"/>
    <w:rsid w:val="00FA17E8"/>
    <w:rsid w:val="00FA3335"/>
    <w:rsid w:val="00FB178B"/>
    <w:rsid w:val="00FB36DD"/>
    <w:rsid w:val="00FB699B"/>
    <w:rsid w:val="00FB7741"/>
    <w:rsid w:val="00FC3A25"/>
    <w:rsid w:val="00FC5B15"/>
    <w:rsid w:val="00FC5B18"/>
    <w:rsid w:val="00FC5CFD"/>
    <w:rsid w:val="00FC6719"/>
    <w:rsid w:val="00FC78CB"/>
    <w:rsid w:val="00FC7BFC"/>
    <w:rsid w:val="00FD1B6A"/>
    <w:rsid w:val="00FD26DB"/>
    <w:rsid w:val="00FD374A"/>
    <w:rsid w:val="00FD3BB5"/>
    <w:rsid w:val="00FD4FEB"/>
    <w:rsid w:val="00FD7840"/>
    <w:rsid w:val="00FE2689"/>
    <w:rsid w:val="00FE26E9"/>
    <w:rsid w:val="00FE68E6"/>
    <w:rsid w:val="00FF1911"/>
    <w:rsid w:val="00FF600A"/>
    <w:rsid w:val="071F6AAE"/>
    <w:rsid w:val="0CDC363B"/>
    <w:rsid w:val="0E0704AF"/>
    <w:rsid w:val="129C0F4C"/>
    <w:rsid w:val="1FFC2C66"/>
    <w:rsid w:val="20727756"/>
    <w:rsid w:val="24EB685F"/>
    <w:rsid w:val="29BF14D7"/>
    <w:rsid w:val="2F31705B"/>
    <w:rsid w:val="3CB5610E"/>
    <w:rsid w:val="63D95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9"/>
    <w:qFormat/>
    <w:uiPriority w:val="9"/>
    <w:pPr>
      <w:keepNext/>
      <w:keepLines/>
      <w:numPr>
        <w:ilvl w:val="0"/>
        <w:numId w:val="1"/>
      </w:numPr>
      <w:jc w:val="center"/>
      <w:outlineLvl w:val="0"/>
    </w:pPr>
    <w:rPr>
      <w:b/>
      <w:bCs/>
      <w:kern w:val="44"/>
      <w:sz w:val="28"/>
      <w:szCs w:val="44"/>
    </w:rPr>
  </w:style>
  <w:style w:type="paragraph" w:styleId="3">
    <w:name w:val="heading 2"/>
    <w:basedOn w:val="1"/>
    <w:next w:val="1"/>
    <w:link w:val="30"/>
    <w:unhideWhenUsed/>
    <w:qFormat/>
    <w:uiPriority w:val="9"/>
    <w:pPr>
      <w:keepNext/>
      <w:keepLines/>
      <w:numPr>
        <w:ilvl w:val="1"/>
        <w:numId w:val="1"/>
      </w:numPr>
      <w:jc w:val="left"/>
      <w:outlineLvl w:val="1"/>
    </w:pPr>
    <w:rPr>
      <w:rFonts w:cstheme="majorBidi"/>
      <w:b/>
      <w:bCs/>
      <w:szCs w:val="32"/>
    </w:rPr>
  </w:style>
  <w:style w:type="paragraph" w:styleId="4">
    <w:name w:val="heading 3"/>
    <w:basedOn w:val="1"/>
    <w:next w:val="1"/>
    <w:link w:val="31"/>
    <w:unhideWhenUsed/>
    <w:qFormat/>
    <w:uiPriority w:val="9"/>
    <w:pPr>
      <w:keepNext/>
      <w:keepLines/>
      <w:numPr>
        <w:ilvl w:val="2"/>
        <w:numId w:val="1"/>
      </w:numPr>
      <w:tabs>
        <w:tab w:val="left" w:pos="0"/>
      </w:tabs>
      <w:outlineLvl w:val="2"/>
    </w:pPr>
    <w:rPr>
      <w:bCs/>
      <w:szCs w:val="32"/>
    </w:rPr>
  </w:style>
  <w:style w:type="paragraph" w:styleId="5">
    <w:name w:val="heading 4"/>
    <w:basedOn w:val="1"/>
    <w:next w:val="1"/>
    <w:link w:val="32"/>
    <w:unhideWhenUsed/>
    <w:qFormat/>
    <w:uiPriority w:val="9"/>
    <w:pPr>
      <w:keepNext/>
      <w:keepLines/>
      <w:numPr>
        <w:ilvl w:val="3"/>
        <w:numId w:val="1"/>
      </w:numPr>
      <w:jc w:val="left"/>
      <w:outlineLvl w:val="3"/>
    </w:pPr>
    <w:rPr>
      <w:rFonts w:cstheme="majorBidi"/>
      <w:b/>
      <w:bCs/>
      <w:szCs w:val="28"/>
    </w:rPr>
  </w:style>
  <w:style w:type="paragraph" w:styleId="6">
    <w:name w:val="heading 5"/>
    <w:basedOn w:val="1"/>
    <w:next w:val="1"/>
    <w:link w:val="65"/>
    <w:unhideWhenUsed/>
    <w:qFormat/>
    <w:uiPriority w:val="9"/>
    <w:pPr>
      <w:keepNext/>
      <w:keepLines/>
      <w:spacing w:before="280" w:after="290" w:line="376" w:lineRule="auto"/>
      <w:outlineLvl w:val="4"/>
    </w:pPr>
    <w:rPr>
      <w:b/>
      <w:bCs/>
      <w:sz w:val="28"/>
      <w:szCs w:val="28"/>
    </w:rPr>
  </w:style>
  <w:style w:type="character" w:default="1" w:styleId="24">
    <w:name w:val="Default Paragraph Font"/>
    <w:semiHidden/>
    <w:unhideWhenUsed/>
    <w:uiPriority w:val="1"/>
  </w:style>
  <w:style w:type="table" w:default="1" w:styleId="22">
    <w:name w:val="Normal Table"/>
    <w:semiHidden/>
    <w:unhideWhenUsed/>
    <w:uiPriority w:val="99"/>
    <w:tblPr>
      <w:tblCellMar>
        <w:top w:w="0" w:type="dxa"/>
        <w:left w:w="108" w:type="dxa"/>
        <w:bottom w:w="0" w:type="dxa"/>
        <w:right w:w="108" w:type="dxa"/>
      </w:tblCellMar>
    </w:tblPr>
  </w:style>
  <w:style w:type="paragraph" w:styleId="7">
    <w:name w:val="toc 7"/>
    <w:basedOn w:val="1"/>
    <w:next w:val="1"/>
    <w:unhideWhenUsed/>
    <w:uiPriority w:val="39"/>
    <w:pPr>
      <w:spacing w:line="240" w:lineRule="auto"/>
      <w:ind w:left="2520" w:leftChars="1200"/>
    </w:pPr>
    <w:rPr>
      <w:rFonts w:asciiTheme="minorHAnsi" w:hAnsiTheme="minorHAnsi" w:eastAsiaTheme="minorEastAsia"/>
      <w:sz w:val="21"/>
    </w:rPr>
  </w:style>
  <w:style w:type="paragraph" w:styleId="8">
    <w:name w:val="annotation text"/>
    <w:basedOn w:val="1"/>
    <w:link w:val="58"/>
    <w:semiHidden/>
    <w:unhideWhenUsed/>
    <w:uiPriority w:val="99"/>
    <w:pPr>
      <w:jc w:val="left"/>
    </w:pPr>
  </w:style>
  <w:style w:type="paragraph" w:styleId="9">
    <w:name w:val="Body Text"/>
    <w:basedOn w:val="1"/>
    <w:link w:val="43"/>
    <w:qFormat/>
    <w:uiPriority w:val="1"/>
    <w:pPr>
      <w:spacing w:line="240" w:lineRule="auto"/>
      <w:ind w:left="118"/>
      <w:jc w:val="left"/>
    </w:pPr>
    <w:rPr>
      <w:rFonts w:ascii="宋体" w:hAnsi="宋体" w:cs="Times New Roman"/>
      <w:kern w:val="0"/>
      <w:szCs w:val="21"/>
      <w:lang w:eastAsia="en-US"/>
    </w:rPr>
  </w:style>
  <w:style w:type="paragraph" w:styleId="10">
    <w:name w:val="toc 5"/>
    <w:basedOn w:val="1"/>
    <w:next w:val="1"/>
    <w:unhideWhenUsed/>
    <w:uiPriority w:val="39"/>
    <w:pPr>
      <w:spacing w:line="240" w:lineRule="auto"/>
      <w:ind w:left="1680" w:leftChars="800"/>
    </w:pPr>
    <w:rPr>
      <w:rFonts w:asciiTheme="minorHAnsi" w:hAnsiTheme="minorHAnsi" w:eastAsiaTheme="minorEastAsia"/>
      <w:sz w:val="21"/>
    </w:rPr>
  </w:style>
  <w:style w:type="paragraph" w:styleId="11">
    <w:name w:val="toc 3"/>
    <w:basedOn w:val="1"/>
    <w:next w:val="1"/>
    <w:unhideWhenUsed/>
    <w:uiPriority w:val="39"/>
    <w:pPr>
      <w:tabs>
        <w:tab w:val="left" w:pos="2100"/>
        <w:tab w:val="right" w:leader="dot" w:pos="8296"/>
      </w:tabs>
      <w:ind w:left="960" w:leftChars="400"/>
    </w:pPr>
  </w:style>
  <w:style w:type="paragraph" w:styleId="12">
    <w:name w:val="toc 8"/>
    <w:basedOn w:val="1"/>
    <w:next w:val="1"/>
    <w:unhideWhenUsed/>
    <w:uiPriority w:val="39"/>
    <w:pPr>
      <w:spacing w:line="240" w:lineRule="auto"/>
      <w:ind w:left="2940" w:leftChars="1400"/>
    </w:pPr>
    <w:rPr>
      <w:rFonts w:asciiTheme="minorHAnsi" w:hAnsiTheme="minorHAnsi" w:eastAsiaTheme="minorEastAsia"/>
      <w:sz w:val="21"/>
    </w:rPr>
  </w:style>
  <w:style w:type="paragraph" w:styleId="13">
    <w:name w:val="Date"/>
    <w:basedOn w:val="1"/>
    <w:next w:val="1"/>
    <w:link w:val="57"/>
    <w:semiHidden/>
    <w:unhideWhenUsed/>
    <w:uiPriority w:val="99"/>
    <w:pPr>
      <w:ind w:left="100" w:leftChars="2500"/>
    </w:pPr>
  </w:style>
  <w:style w:type="paragraph" w:styleId="14">
    <w:name w:val="footer"/>
    <w:basedOn w:val="1"/>
    <w:link w:val="56"/>
    <w:unhideWhenUsed/>
    <w:uiPriority w:val="99"/>
    <w:pPr>
      <w:tabs>
        <w:tab w:val="center" w:pos="4153"/>
        <w:tab w:val="right" w:pos="8306"/>
      </w:tabs>
      <w:snapToGrid w:val="0"/>
      <w:spacing w:line="240" w:lineRule="auto"/>
      <w:jc w:val="left"/>
    </w:pPr>
    <w:rPr>
      <w:sz w:val="18"/>
      <w:szCs w:val="18"/>
    </w:rPr>
  </w:style>
  <w:style w:type="paragraph" w:styleId="15">
    <w:name w:val="header"/>
    <w:basedOn w:val="1"/>
    <w:link w:val="55"/>
    <w:unhideWhenUsed/>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unhideWhenUsed/>
    <w:uiPriority w:val="39"/>
  </w:style>
  <w:style w:type="paragraph" w:styleId="17">
    <w:name w:val="toc 4"/>
    <w:basedOn w:val="1"/>
    <w:next w:val="1"/>
    <w:unhideWhenUsed/>
    <w:uiPriority w:val="39"/>
    <w:pPr>
      <w:spacing w:line="240" w:lineRule="auto"/>
      <w:ind w:left="1260" w:leftChars="600"/>
    </w:pPr>
    <w:rPr>
      <w:rFonts w:asciiTheme="minorHAnsi" w:hAnsiTheme="minorHAnsi" w:eastAsiaTheme="minorEastAsia"/>
      <w:sz w:val="21"/>
    </w:rPr>
  </w:style>
  <w:style w:type="paragraph" w:styleId="18">
    <w:name w:val="toc 6"/>
    <w:basedOn w:val="1"/>
    <w:next w:val="1"/>
    <w:unhideWhenUsed/>
    <w:uiPriority w:val="39"/>
    <w:pPr>
      <w:spacing w:line="240" w:lineRule="auto"/>
      <w:ind w:left="2100" w:leftChars="1000"/>
    </w:pPr>
    <w:rPr>
      <w:rFonts w:asciiTheme="minorHAnsi" w:hAnsiTheme="minorHAnsi" w:eastAsiaTheme="minorEastAsia"/>
      <w:sz w:val="21"/>
    </w:rPr>
  </w:style>
  <w:style w:type="paragraph" w:styleId="19">
    <w:name w:val="toc 2"/>
    <w:basedOn w:val="1"/>
    <w:next w:val="1"/>
    <w:unhideWhenUsed/>
    <w:uiPriority w:val="39"/>
    <w:pPr>
      <w:tabs>
        <w:tab w:val="right" w:leader="dot" w:pos="8296"/>
      </w:tabs>
      <w:spacing w:line="240" w:lineRule="auto"/>
      <w:ind w:left="100" w:leftChars="100"/>
    </w:pPr>
  </w:style>
  <w:style w:type="paragraph" w:styleId="20">
    <w:name w:val="toc 9"/>
    <w:basedOn w:val="1"/>
    <w:next w:val="1"/>
    <w:unhideWhenUsed/>
    <w:uiPriority w:val="39"/>
    <w:pPr>
      <w:spacing w:line="240" w:lineRule="auto"/>
      <w:ind w:left="3360" w:leftChars="1600"/>
    </w:pPr>
    <w:rPr>
      <w:rFonts w:asciiTheme="minorHAnsi" w:hAnsiTheme="minorHAnsi" w:eastAsiaTheme="minorEastAsia"/>
      <w:sz w:val="21"/>
    </w:rPr>
  </w:style>
  <w:style w:type="paragraph" w:styleId="21">
    <w:name w:val="annotation subject"/>
    <w:basedOn w:val="8"/>
    <w:next w:val="8"/>
    <w:link w:val="59"/>
    <w:semiHidden/>
    <w:unhideWhenUsed/>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semiHidden/>
    <w:unhideWhenUsed/>
    <w:uiPriority w:val="99"/>
    <w:rPr>
      <w:color w:val="954F72" w:themeColor="followedHyperlink"/>
      <w:u w:val="single"/>
      <w14:textFill>
        <w14:solidFill>
          <w14:schemeClr w14:val="folHlink"/>
        </w14:solidFill>
      </w14:textFill>
    </w:rPr>
  </w:style>
  <w:style w:type="character" w:styleId="26">
    <w:name w:val="Emphasis"/>
    <w:basedOn w:val="24"/>
    <w:qFormat/>
    <w:uiPriority w:val="20"/>
    <w:rPr>
      <w:color w:val="CC0000"/>
    </w:rPr>
  </w:style>
  <w:style w:type="character" w:styleId="27">
    <w:name w:val="Hyperlink"/>
    <w:basedOn w:val="24"/>
    <w:unhideWhenUsed/>
    <w:uiPriority w:val="99"/>
    <w:rPr>
      <w:color w:val="0563C1" w:themeColor="hyperlink"/>
      <w:u w:val="single"/>
      <w14:textFill>
        <w14:solidFill>
          <w14:schemeClr w14:val="hlink"/>
        </w14:solidFill>
      </w14:textFill>
    </w:rPr>
  </w:style>
  <w:style w:type="character" w:styleId="28">
    <w:name w:val="annotation reference"/>
    <w:basedOn w:val="24"/>
    <w:semiHidden/>
    <w:unhideWhenUsed/>
    <w:uiPriority w:val="99"/>
    <w:rPr>
      <w:sz w:val="21"/>
      <w:szCs w:val="21"/>
    </w:rPr>
  </w:style>
  <w:style w:type="character" w:customStyle="1" w:styleId="29">
    <w:name w:val="标题 1 字符"/>
    <w:basedOn w:val="24"/>
    <w:link w:val="2"/>
    <w:uiPriority w:val="9"/>
    <w:rPr>
      <w:rFonts w:ascii="Times New Roman" w:hAnsi="Times New Roman" w:eastAsia="宋体"/>
      <w:b/>
      <w:bCs/>
      <w:kern w:val="44"/>
      <w:sz w:val="28"/>
      <w:szCs w:val="44"/>
    </w:rPr>
  </w:style>
  <w:style w:type="character" w:customStyle="1" w:styleId="30">
    <w:name w:val="标题 2 字符"/>
    <w:basedOn w:val="24"/>
    <w:link w:val="3"/>
    <w:uiPriority w:val="9"/>
    <w:rPr>
      <w:rFonts w:ascii="Times New Roman" w:hAnsi="Times New Roman" w:eastAsia="宋体" w:cstheme="majorBidi"/>
      <w:b/>
      <w:bCs/>
      <w:sz w:val="24"/>
      <w:szCs w:val="32"/>
    </w:rPr>
  </w:style>
  <w:style w:type="character" w:customStyle="1" w:styleId="31">
    <w:name w:val="标题 3 字符"/>
    <w:basedOn w:val="24"/>
    <w:link w:val="4"/>
    <w:uiPriority w:val="9"/>
    <w:rPr>
      <w:rFonts w:ascii="Times New Roman" w:hAnsi="Times New Roman" w:eastAsia="宋体"/>
      <w:bCs/>
      <w:sz w:val="24"/>
      <w:szCs w:val="32"/>
    </w:rPr>
  </w:style>
  <w:style w:type="character" w:customStyle="1" w:styleId="32">
    <w:name w:val="标题 4 字符"/>
    <w:basedOn w:val="24"/>
    <w:link w:val="5"/>
    <w:uiPriority w:val="9"/>
    <w:rPr>
      <w:rFonts w:ascii="Times New Roman" w:hAnsi="Times New Roman" w:eastAsia="宋体" w:cstheme="majorBidi"/>
      <w:b/>
      <w:bCs/>
      <w:sz w:val="24"/>
      <w:szCs w:val="28"/>
    </w:rPr>
  </w:style>
  <w:style w:type="paragraph" w:customStyle="1" w:styleId="33">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3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6">
    <w:name w:val="封面一致性程度标识"/>
    <w:basedOn w:val="1"/>
    <w:qFormat/>
    <w:uiPriority w:val="0"/>
    <w:pPr>
      <w:framePr w:w="9639" w:h="6917" w:hRule="exact" w:wrap="around" w:vAnchor="page" w:hAnchor="page" w:xAlign="center" w:y="6408" w:anchorLock="1"/>
      <w:spacing w:before="440" w:line="400" w:lineRule="exact"/>
      <w:jc w:val="center"/>
      <w:textAlignment w:val="center"/>
    </w:pPr>
    <w:rPr>
      <w:rFonts w:ascii="宋体" w:cs="Times New Roman"/>
      <w:kern w:val="0"/>
      <w:sz w:val="28"/>
      <w:szCs w:val="28"/>
    </w:rPr>
  </w:style>
  <w:style w:type="paragraph" w:customStyle="1" w:styleId="3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8">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eastAsia="黑体" w:cs="Times New Roman"/>
      <w:spacing w:val="20"/>
      <w:w w:val="135"/>
      <w:kern w:val="0"/>
      <w:sz w:val="28"/>
      <w:szCs w:val="20"/>
    </w:rPr>
  </w:style>
  <w:style w:type="paragraph" w:customStyle="1" w:styleId="39">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40">
    <w:name w:val="其他发布日期"/>
    <w:basedOn w:val="1"/>
    <w:qFormat/>
    <w:uiPriority w:val="0"/>
    <w:pPr>
      <w:framePr w:w="3997" w:h="471" w:hRule="exact" w:vSpace="181" w:wrap="around" w:vAnchor="page" w:hAnchor="text" w:x="1419" w:y="14097" w:anchorLock="1"/>
      <w:widowControl/>
      <w:spacing w:line="240" w:lineRule="auto"/>
      <w:jc w:val="left"/>
    </w:pPr>
    <w:rPr>
      <w:rFonts w:eastAsia="黑体" w:cs="Times New Roman"/>
      <w:kern w:val="0"/>
      <w:sz w:val="28"/>
      <w:szCs w:val="20"/>
    </w:rPr>
  </w:style>
  <w:style w:type="paragraph" w:customStyle="1" w:styleId="41">
    <w:name w:val="段"/>
    <w:link w:val="42"/>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42">
    <w:name w:val="段 Char"/>
    <w:link w:val="41"/>
    <w:qFormat/>
    <w:uiPriority w:val="0"/>
    <w:rPr>
      <w:rFonts w:ascii="宋体" w:hAnsi="Times New Roman" w:eastAsia="宋体" w:cs="Times New Roman"/>
      <w:kern w:val="0"/>
      <w:szCs w:val="20"/>
    </w:rPr>
  </w:style>
  <w:style w:type="character" w:customStyle="1" w:styleId="43">
    <w:name w:val="正文文本 字符"/>
    <w:basedOn w:val="24"/>
    <w:link w:val="9"/>
    <w:uiPriority w:val="1"/>
    <w:rPr>
      <w:rFonts w:ascii="宋体" w:hAnsi="宋体" w:eastAsia="宋体" w:cs="Times New Roman"/>
      <w:kern w:val="0"/>
      <w:szCs w:val="21"/>
      <w:lang w:eastAsia="en-US"/>
    </w:rPr>
  </w:style>
  <w:style w:type="paragraph" w:customStyle="1" w:styleId="44">
    <w:name w:val="标准文件_二级条标题"/>
    <w:next w:val="1"/>
    <w:uiPriority w:val="99"/>
    <w:pPr>
      <w:widowControl w:val="0"/>
      <w:numPr>
        <w:ilvl w:val="3"/>
        <w:numId w:val="2"/>
      </w:numPr>
      <w:jc w:val="both"/>
      <w:outlineLvl w:val="2"/>
    </w:pPr>
    <w:rPr>
      <w:rFonts w:ascii="黑体" w:hAnsi="Times New Roman" w:eastAsia="黑体" w:cs="黑体"/>
      <w:sz w:val="21"/>
      <w:szCs w:val="21"/>
      <w:lang w:val="en-US" w:eastAsia="zh-CN" w:bidi="ar-SA"/>
    </w:rPr>
  </w:style>
  <w:style w:type="paragraph" w:customStyle="1" w:styleId="45">
    <w:name w:val="标准文件_三级条标题"/>
    <w:basedOn w:val="44"/>
    <w:next w:val="1"/>
    <w:uiPriority w:val="99"/>
    <w:pPr>
      <w:widowControl/>
      <w:numPr>
        <w:ilvl w:val="4"/>
      </w:numPr>
      <w:outlineLvl w:val="3"/>
    </w:pPr>
  </w:style>
  <w:style w:type="paragraph" w:customStyle="1" w:styleId="46">
    <w:name w:val="标准文件_四级条标题"/>
    <w:next w:val="1"/>
    <w:uiPriority w:val="99"/>
    <w:pPr>
      <w:widowControl w:val="0"/>
      <w:numPr>
        <w:ilvl w:val="5"/>
        <w:numId w:val="2"/>
      </w:numPr>
      <w:jc w:val="both"/>
      <w:outlineLvl w:val="4"/>
    </w:pPr>
    <w:rPr>
      <w:rFonts w:ascii="黑体" w:hAnsi="Times New Roman" w:eastAsia="黑体" w:cs="黑体"/>
      <w:sz w:val="21"/>
      <w:szCs w:val="21"/>
      <w:lang w:val="en-US" w:eastAsia="zh-CN" w:bidi="ar-SA"/>
    </w:rPr>
  </w:style>
  <w:style w:type="paragraph" w:customStyle="1" w:styleId="47">
    <w:name w:val="标准文件_五级条标题"/>
    <w:next w:val="1"/>
    <w:uiPriority w:val="99"/>
    <w:pPr>
      <w:widowControl w:val="0"/>
      <w:numPr>
        <w:ilvl w:val="6"/>
        <w:numId w:val="2"/>
      </w:numPr>
      <w:jc w:val="both"/>
      <w:outlineLvl w:val="5"/>
    </w:pPr>
    <w:rPr>
      <w:rFonts w:ascii="黑体" w:hAnsi="Times New Roman" w:eastAsia="黑体" w:cs="黑体"/>
      <w:sz w:val="21"/>
      <w:szCs w:val="21"/>
      <w:lang w:val="en-US" w:eastAsia="zh-CN" w:bidi="ar-SA"/>
    </w:rPr>
  </w:style>
  <w:style w:type="paragraph" w:customStyle="1" w:styleId="48">
    <w:name w:val="1章标题"/>
    <w:next w:val="1"/>
    <w:uiPriority w:val="99"/>
    <w:pPr>
      <w:numPr>
        <w:ilvl w:val="1"/>
        <w:numId w:val="2"/>
      </w:numPr>
      <w:spacing w:beforeLines="50" w:afterLines="50"/>
      <w:jc w:val="both"/>
      <w:outlineLvl w:val="0"/>
    </w:pPr>
    <w:rPr>
      <w:rFonts w:ascii="黑体" w:hAnsi="Times New Roman" w:eastAsia="黑体" w:cs="黑体"/>
      <w:sz w:val="21"/>
      <w:szCs w:val="21"/>
      <w:lang w:val="en-US" w:eastAsia="zh-CN" w:bidi="ar-SA"/>
    </w:rPr>
  </w:style>
  <w:style w:type="paragraph" w:customStyle="1" w:styleId="49">
    <w:name w:val="标准文件_一级条标题"/>
    <w:basedOn w:val="48"/>
    <w:next w:val="1"/>
    <w:uiPriority w:val="99"/>
    <w:pPr>
      <w:numPr>
        <w:ilvl w:val="2"/>
      </w:numPr>
      <w:spacing w:beforeLines="0" w:afterLines="0"/>
      <w:outlineLvl w:val="1"/>
    </w:pPr>
  </w:style>
  <w:style w:type="paragraph" w:customStyle="1" w:styleId="50">
    <w:name w:val="前言标题"/>
    <w:next w:val="1"/>
    <w:uiPriority w:val="99"/>
    <w:pPr>
      <w:numPr>
        <w:ilvl w:val="0"/>
        <w:numId w:val="2"/>
      </w:numPr>
      <w:shd w:val="clear" w:color="FFFFFF" w:fill="FFFFFF"/>
      <w:spacing w:before="540"/>
      <w:jc w:val="center"/>
      <w:outlineLvl w:val="0"/>
    </w:pPr>
    <w:rPr>
      <w:rFonts w:ascii="黑体" w:hAnsi="Times New Roman" w:eastAsia="黑体" w:cs="黑体"/>
      <w:sz w:val="32"/>
      <w:szCs w:val="32"/>
      <w:lang w:val="en-US" w:eastAsia="zh-CN" w:bidi="ar-SA"/>
    </w:rPr>
  </w:style>
  <w:style w:type="paragraph" w:styleId="51">
    <w:name w:val="List Paragraph"/>
    <w:basedOn w:val="1"/>
    <w:link w:val="52"/>
    <w:qFormat/>
    <w:uiPriority w:val="34"/>
    <w:pPr>
      <w:spacing w:line="360" w:lineRule="auto"/>
      <w:ind w:firstLine="420" w:firstLineChars="200"/>
    </w:pPr>
  </w:style>
  <w:style w:type="character" w:customStyle="1" w:styleId="52">
    <w:name w:val="列表段落 字符"/>
    <w:link w:val="51"/>
    <w:qFormat/>
    <w:uiPriority w:val="34"/>
    <w:rPr>
      <w:rFonts w:ascii="Times New Roman" w:hAnsi="Times New Roman" w:eastAsia="宋体"/>
      <w:sz w:val="24"/>
    </w:rPr>
  </w:style>
  <w:style w:type="paragraph" w:styleId="53">
    <w:name w:val="No Spacing"/>
    <w:basedOn w:val="1"/>
    <w:next w:val="1"/>
    <w:link w:val="54"/>
    <w:qFormat/>
    <w:uiPriority w:val="0"/>
    <w:pPr>
      <w:spacing w:line="240" w:lineRule="auto"/>
      <w:ind w:firstLine="420" w:firstLineChars="200"/>
    </w:pPr>
    <w:rPr>
      <w:rFonts w:eastAsia="楷体" w:cs="Times New Roman"/>
      <w:kern w:val="0"/>
      <w:sz w:val="21"/>
      <w:szCs w:val="21"/>
    </w:rPr>
  </w:style>
  <w:style w:type="character" w:customStyle="1" w:styleId="54">
    <w:name w:val="无间隔 字符"/>
    <w:basedOn w:val="24"/>
    <w:link w:val="53"/>
    <w:uiPriority w:val="0"/>
    <w:rPr>
      <w:rFonts w:ascii="Times New Roman" w:hAnsi="Times New Roman" w:eastAsia="楷体" w:cs="Times New Roman"/>
      <w:kern w:val="0"/>
      <w:szCs w:val="21"/>
    </w:rPr>
  </w:style>
  <w:style w:type="character" w:customStyle="1" w:styleId="55">
    <w:name w:val="页眉 字符"/>
    <w:basedOn w:val="24"/>
    <w:link w:val="15"/>
    <w:uiPriority w:val="99"/>
    <w:rPr>
      <w:rFonts w:ascii="Times New Roman" w:hAnsi="Times New Roman" w:eastAsia="宋体"/>
      <w:sz w:val="18"/>
      <w:szCs w:val="18"/>
    </w:rPr>
  </w:style>
  <w:style w:type="character" w:customStyle="1" w:styleId="56">
    <w:name w:val="页脚 字符"/>
    <w:basedOn w:val="24"/>
    <w:link w:val="14"/>
    <w:uiPriority w:val="99"/>
    <w:rPr>
      <w:rFonts w:ascii="Times New Roman" w:hAnsi="Times New Roman" w:eastAsia="宋体"/>
      <w:sz w:val="18"/>
      <w:szCs w:val="18"/>
    </w:rPr>
  </w:style>
  <w:style w:type="character" w:customStyle="1" w:styleId="57">
    <w:name w:val="日期 字符"/>
    <w:basedOn w:val="24"/>
    <w:link w:val="13"/>
    <w:semiHidden/>
    <w:uiPriority w:val="99"/>
    <w:rPr>
      <w:rFonts w:ascii="Times New Roman" w:hAnsi="Times New Roman" w:eastAsia="宋体"/>
      <w:sz w:val="24"/>
    </w:rPr>
  </w:style>
  <w:style w:type="character" w:customStyle="1" w:styleId="58">
    <w:name w:val="批注文字 字符"/>
    <w:basedOn w:val="24"/>
    <w:link w:val="8"/>
    <w:semiHidden/>
    <w:uiPriority w:val="99"/>
    <w:rPr>
      <w:rFonts w:ascii="Times New Roman" w:hAnsi="Times New Roman" w:eastAsia="宋体"/>
      <w:sz w:val="24"/>
    </w:rPr>
  </w:style>
  <w:style w:type="character" w:customStyle="1" w:styleId="59">
    <w:name w:val="批注主题 字符"/>
    <w:basedOn w:val="58"/>
    <w:link w:val="21"/>
    <w:semiHidden/>
    <w:uiPriority w:val="99"/>
    <w:rPr>
      <w:rFonts w:ascii="Times New Roman" w:hAnsi="Times New Roman" w:eastAsia="宋体"/>
      <w:b/>
      <w:bCs/>
      <w:sz w:val="24"/>
    </w:rPr>
  </w:style>
  <w:style w:type="paragraph" w:customStyle="1" w:styleId="60">
    <w:name w:val="修订1"/>
    <w:hidden/>
    <w:semiHidden/>
    <w:uiPriority w:val="99"/>
    <w:rPr>
      <w:rFonts w:ascii="Times New Roman" w:hAnsi="Times New Roman" w:eastAsia="宋体" w:cstheme="minorBidi"/>
      <w:kern w:val="2"/>
      <w:sz w:val="24"/>
      <w:szCs w:val="22"/>
      <w:lang w:val="en-US" w:eastAsia="zh-CN" w:bidi="ar-SA"/>
    </w:rPr>
  </w:style>
  <w:style w:type="paragraph" w:customStyle="1" w:styleId="61">
    <w:name w:val="TOC 标题1"/>
    <w:basedOn w:val="2"/>
    <w:next w:val="1"/>
    <w:unhideWhenUsed/>
    <w:qFormat/>
    <w:uiPriority w:val="39"/>
    <w:pPr>
      <w:widowControl/>
      <w:numPr>
        <w:numId w:val="0"/>
      </w:numPr>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62">
    <w:name w:val="未处理的提及1"/>
    <w:basedOn w:val="24"/>
    <w:semiHidden/>
    <w:unhideWhenUsed/>
    <w:uiPriority w:val="99"/>
    <w:rPr>
      <w:color w:val="605E5C"/>
      <w:shd w:val="clear" w:color="auto" w:fill="E1DFDD"/>
    </w:rPr>
  </w:style>
  <w:style w:type="character" w:customStyle="1" w:styleId="63">
    <w:name w:val="fw2"/>
    <w:basedOn w:val="24"/>
    <w:uiPriority w:val="0"/>
  </w:style>
  <w:style w:type="character" w:customStyle="1" w:styleId="64">
    <w:name w:val="ss3"/>
    <w:basedOn w:val="24"/>
    <w:uiPriority w:val="0"/>
  </w:style>
  <w:style w:type="character" w:customStyle="1" w:styleId="65">
    <w:name w:val="标题 5 字符"/>
    <w:basedOn w:val="24"/>
    <w:link w:val="6"/>
    <w:uiPriority w:val="9"/>
    <w:rPr>
      <w:rFonts w:ascii="Times New Roman" w:hAnsi="Times New Roman" w:eastAsia="宋体"/>
      <w:b/>
      <w:bCs/>
      <w:sz w:val="28"/>
      <w:szCs w:val="28"/>
    </w:rPr>
  </w:style>
  <w:style w:type="paragraph" w:customStyle="1" w:styleId="66">
    <w:name w:val="Revision"/>
    <w:hidden/>
    <w:semiHidden/>
    <w:uiPriority w:val="99"/>
    <w:rPr>
      <w:rFonts w:ascii="Times New Roman" w:hAnsi="Times New Roman" w:eastAsia="宋体" w:cstheme="minorBidi"/>
      <w:kern w:val="2"/>
      <w:sz w:val="24"/>
      <w:szCs w:val="22"/>
      <w:lang w:val="en-US" w:eastAsia="zh-CN" w:bidi="ar-SA"/>
    </w:rPr>
  </w:style>
  <w:style w:type="paragraph" w:customStyle="1" w:styleId="67">
    <w:name w:val="TOC Heading"/>
    <w:basedOn w:val="2"/>
    <w:next w:val="1"/>
    <w:unhideWhenUsed/>
    <w:qFormat/>
    <w:uiPriority w:val="39"/>
    <w:pPr>
      <w:widowControl/>
      <w:numPr>
        <w:numId w:val="0"/>
      </w:numPr>
      <w:tabs>
        <w:tab w:val="clear" w:pos="0"/>
      </w:tabs>
      <w:spacing w:before="24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68">
    <w:name w:val="Unresolved Mention"/>
    <w:basedOn w:val="24"/>
    <w:semiHidden/>
    <w:unhideWhenUsed/>
    <w:uiPriority w:val="99"/>
    <w:rPr>
      <w:color w:val="605E5C"/>
      <w:shd w:val="clear" w:color="auto" w:fill="E1DFDD"/>
    </w:rPr>
  </w:style>
  <w:style w:type="paragraph" w:customStyle="1" w:styleId="69">
    <w:name w:val="MTDisplayEquation"/>
    <w:basedOn w:val="1"/>
    <w:next w:val="1"/>
    <w:link w:val="70"/>
    <w:uiPriority w:val="0"/>
    <w:pPr>
      <w:tabs>
        <w:tab w:val="center" w:pos="4160"/>
        <w:tab w:val="right" w:pos="8300"/>
      </w:tabs>
      <w:ind w:right="960"/>
    </w:pPr>
    <w:rPr>
      <w:rFonts w:cs="Times New Roman"/>
    </w:rPr>
  </w:style>
  <w:style w:type="character" w:customStyle="1" w:styleId="70">
    <w:name w:val="MTDisplayEquation 字符"/>
    <w:basedOn w:val="24"/>
    <w:link w:val="69"/>
    <w:uiPriority w:val="0"/>
    <w:rPr>
      <w:rFonts w:ascii="Times New Roman" w:hAnsi="Times New Roman" w:eastAsia="宋体" w:cs="Times New Roman"/>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0.wmf"/><Relationship Id="rId23" Type="http://schemas.openxmlformats.org/officeDocument/2006/relationships/oleObject" Target="embeddings/oleObject8.bin"/><Relationship Id="rId22" Type="http://schemas.openxmlformats.org/officeDocument/2006/relationships/oleObject" Target="embeddings/oleObject7.bin"/><Relationship Id="rId21" Type="http://schemas.openxmlformats.org/officeDocument/2006/relationships/oleObject" Target="embeddings/oleObject6.bin"/><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oleObject" Target="embeddings/oleObject4.bin"/><Relationship Id="rId17" Type="http://schemas.openxmlformats.org/officeDocument/2006/relationships/image" Target="media/image8.wmf"/><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wmf"/><Relationship Id="rId12" Type="http://schemas.openxmlformats.org/officeDocument/2006/relationships/oleObject" Target="embeddings/oleObject1.bin"/><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50404C1-3FF1-4FA5-85BA-A0C6034A6E2C}">
  <ds:schemaRefs/>
</ds:datastoreItem>
</file>

<file path=docProps/app.xml><?xml version="1.0" encoding="utf-8"?>
<Properties xmlns="http://schemas.openxmlformats.org/officeDocument/2006/extended-properties" xmlns:vt="http://schemas.openxmlformats.org/officeDocument/2006/docPropsVTypes">
  <Template>Normal</Template>
  <Pages>29</Pages>
  <Words>11240</Words>
  <Characters>12792</Characters>
  <Lines>114</Lines>
  <Paragraphs>32</Paragraphs>
  <TotalTime>32</TotalTime>
  <ScaleCrop>false</ScaleCrop>
  <LinksUpToDate>false</LinksUpToDate>
  <CharactersWithSpaces>13145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2022-09-09T09:13:00Z</dcterms:created>
  <dc:creator>马 利英</dc:creator>
  <cp:lastModifiedBy>WPS_1663123138</cp:lastModifiedBy>
  <dcterms:modified xsi:type="dcterms:W3CDTF">2022-10-12T03:11:43Z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0EA2A250E2D849DEAFF02B7BDF7D0405</vt:lpwstr>
  </property>
  <property fmtid="{D5CDD505-2E9C-101B-9397-08002B2CF9AE}" pid="4" name="MTWinEqns">
    <vt:bool>true</vt:bool>
  </property>
  <property fmtid="{D5CDD505-2E9C-101B-9397-08002B2CF9AE}" pid="5" name="MTEquationNumber2">
    <vt:lpwstr>(#S1.#E1)</vt:lpwstr>
  </property>
</Properties>
</file>